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03"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2960" w:right="1600" w:hanging="2939"/>
        <w:spacing w:after="0" w:line="313"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 to 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001-41947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Kyverna Therapeutics, Inc.</w:t>
      </w:r>
    </w:p>
    <w:p>
      <w:pPr>
        <w:sectPr>
          <w:pgSz w:w="11900" w:h="16838" w:orient="portrait"/>
          <w:cols w:equalWidth="0" w:num="1">
            <w:col w:w="11240"/>
          </w:cols>
          <w:pgMar w:left="320" w:top="1213"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5980 Horton St., STE 550</w:t>
      </w:r>
    </w:p>
    <w:p>
      <w:pPr>
        <w:spacing w:after="0" w:line="1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Emeryville,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83-1365441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94608</w:t>
      </w:r>
    </w:p>
    <w:p>
      <w:pPr>
        <w:spacing w:after="0" w:line="27" w:lineRule="exact"/>
        <w:rPr>
          <w:sz w:val="24"/>
          <w:szCs w:val="24"/>
          <w:color w:val="auto"/>
        </w:rPr>
      </w:pPr>
    </w:p>
    <w:p>
      <w:pPr>
        <w:sectPr>
          <w:pgSz w:w="11900" w:h="16838" w:orient="portrait"/>
          <w:cols w:equalWidth="0" w:num="2">
            <w:col w:w="7700" w:space="240"/>
            <w:col w:w="3300"/>
          </w:cols>
          <w:pgMar w:left="320" w:top="1213"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925-2492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$0.00001 per share</w:t>
            </w: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KYTX</w:t>
            </w:r>
          </w:p>
        </w:tc>
        <w:tc>
          <w:tcPr>
            <w:tcW w:w="120" w:type="dxa"/>
            <w:vAlign w:val="bottom"/>
          </w:tcPr>
          <w:p>
            <w:pPr>
              <w:spacing w:after="0"/>
              <w:rPr>
                <w:sz w:val="17"/>
                <w:szCs w:val="17"/>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49"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May 1, 2026, the registrant had 60,795,212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w w:val="99"/>
              </w:rPr>
              <w:t>Financial Statements (Unaudited)</w:t>
            </w:r>
          </w:p>
        </w:tc>
        <w:tc>
          <w:tcPr>
            <w:tcW w:w="68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w w:val="98"/>
              </w:rPr>
              <w:t>Condensed Balance Sheets</w:t>
            </w:r>
          </w:p>
        </w:tc>
        <w:tc>
          <w:tcPr>
            <w:tcW w:w="73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Condensed Statements of Operations and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0" w:type="dxa"/>
            <w:vAlign w:val="bottom"/>
            <w:tcBorders>
              <w:top w:val="single" w:sz="8" w:color="0563C1"/>
              <w:bottom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Statements of Stockholders’ Equity</w:t>
            </w:r>
          </w:p>
        </w:tc>
        <w:tc>
          <w:tcPr>
            <w:tcW w:w="1320" w:type="dxa"/>
            <w:vAlign w:val="bottom"/>
            <w:tcBorders>
              <w:top w:val="single" w:sz="8" w:color="0563C1"/>
            </w:tcBorders>
            <w:gridSpan w:val="4"/>
          </w:tcPr>
          <w:p>
            <w:pPr>
              <w:spacing w:after="0"/>
              <w:rPr>
                <w:sz w:val="17"/>
                <w:szCs w:val="17"/>
                <w:color w:val="auto"/>
              </w:rPr>
            </w:pPr>
          </w:p>
        </w:tc>
        <w:tc>
          <w:tcPr>
            <w:tcW w:w="45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Borders>
              <w:bottom w:val="single" w:sz="8" w:color="0563C1"/>
            </w:tcBorders>
            <w:gridSpan w:val="11"/>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Statements of Cash Flows</w:t>
            </w:r>
          </w:p>
        </w:tc>
        <w:tc>
          <w:tcPr>
            <w:tcW w:w="658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Notes to Unaudited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gridSpan w:val="3"/>
            <w:shd w:val="clear" w:color="auto" w:fill="0563C1"/>
          </w:tcPr>
          <w:p>
            <w:pPr>
              <w:spacing w:after="0" w:line="20" w:lineRule="exact"/>
              <w:rPr>
                <w:sz w:val="1"/>
                <w:szCs w:val="1"/>
                <w:color w:val="auto"/>
              </w:rPr>
            </w:pPr>
          </w:p>
        </w:tc>
        <w:tc>
          <w:tcPr>
            <w:tcW w:w="1460" w:type="dxa"/>
            <w:vAlign w:val="bottom"/>
            <w:gridSpan w:val="4"/>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563C1"/>
              <w:bottom w:val="single" w:sz="8" w:color="0563C1"/>
            </w:tcBorders>
            <w:gridSpan w:val="1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2"/>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190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798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563C1"/>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8"/>
              </w:rPr>
              <w:t>Defaults Upon Senior Securities</w:t>
            </w:r>
          </w:p>
        </w:tc>
        <w:tc>
          <w:tcPr>
            <w:tcW w:w="2020" w:type="dxa"/>
            <w:vAlign w:val="bottom"/>
            <w:tcBorders>
              <w:top w:val="single" w:sz="8" w:color="0563C1"/>
            </w:tcBorders>
            <w:gridSpan w:val="5"/>
          </w:tcPr>
          <w:p>
            <w:pPr>
              <w:spacing w:after="0"/>
              <w:rPr>
                <w:sz w:val="17"/>
                <w:szCs w:val="17"/>
                <w:color w:val="auto"/>
              </w:rPr>
            </w:pPr>
          </w:p>
        </w:tc>
        <w:tc>
          <w:tcPr>
            <w:tcW w:w="49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5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80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124,093</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155,160</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282,953</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293,826</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license expense – related party</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short-term portion</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 short-term portion</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1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short-term portion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61,550</w:t>
            </w:r>
          </w:p>
        </w:tc>
        <w:tc>
          <w:tcPr>
            <w:tcW w:w="100" w:type="dxa"/>
            <w:vAlign w:val="bottom"/>
          </w:tcPr>
          <w:p>
            <w:pPr>
              <w:spacing w:after="0"/>
              <w:rPr>
                <w:sz w:val="18"/>
                <w:szCs w:val="18"/>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stock, 10,000,000 shares authorized, $0.00001 par value, no shares issued and outstanding</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at March 31, 2026 and December 31, 2025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$0.00001 par value; 490,000,000 shares authorized as of March 31, 2026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60,532,500 and 60,389,893 shares issued and outstanding as of March 31, 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660,230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657,005</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(464,555)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(424,827)</w:t>
            </w:r>
          </w:p>
        </w:tc>
      </w:tr>
      <w:tr>
        <w:trPr>
          <w:trHeight w:val="209"/>
        </w:trPr>
        <w:tc>
          <w:tcPr>
            <w:tcW w:w="76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195,580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232,276</w:t>
            </w:r>
          </w:p>
        </w:tc>
        <w:tc>
          <w:tcPr>
            <w:tcW w:w="100" w:type="dxa"/>
            <w:vAlign w:val="bottom"/>
            <w:tcBorders>
              <w:top w:val="single" w:sz="8" w:color="CFF0FC"/>
            </w:tcBorders>
          </w:tcPr>
          <w:p>
            <w:pPr>
              <w:spacing w:after="0"/>
              <w:rPr>
                <w:sz w:val="18"/>
                <w:szCs w:val="18"/>
                <w:color w:val="auto"/>
              </w:rPr>
            </w:pPr>
          </w:p>
        </w:tc>
      </w:tr>
      <w:tr>
        <w:trPr>
          <w:trHeight w:val="23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293,826</w:t>
            </w:r>
          </w:p>
        </w:tc>
        <w:tc>
          <w:tcPr>
            <w:tcW w:w="100" w:type="dxa"/>
            <w:vAlign w:val="bottom"/>
            <w:shd w:val="clear" w:color="auto" w:fill="CFF0FC"/>
          </w:tcPr>
          <w:p>
            <w:pPr>
              <w:spacing w:after="0"/>
              <w:rPr>
                <w:sz w:val="19"/>
                <w:szCs w:val="19"/>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-4362450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-3531235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00" w:type="dxa"/>
            <w:vAlign w:val="bottom"/>
          </w:tcPr>
          <w:p>
            <w:pPr>
              <w:spacing w:after="0"/>
              <w:rPr>
                <w:sz w:val="18"/>
                <w:szCs w:val="18"/>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(41,367)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(47,408)</w:t>
            </w: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(44,635)</w:t>
            </w: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 on available-for-sale marketable securities, net</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65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1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(39,921)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(44,741)</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80" w:type="dxa"/>
            <w:vAlign w:val="bottom"/>
            <w:gridSpan w:val="2"/>
            <w:shd w:val="clear" w:color="auto" w:fill="CFF0FC"/>
          </w:tcPr>
          <w:p>
            <w:pPr>
              <w:ind w:left="1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7"/>
        </w:trPr>
        <w:tc>
          <w:tcPr>
            <w:tcW w:w="65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2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60,434,200</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43,215,577</w:t>
            </w:r>
          </w:p>
        </w:tc>
        <w:tc>
          <w:tcPr>
            <w:tcW w:w="100" w:type="dxa"/>
            <w:vAlign w:val="bottom"/>
            <w:tcBorders>
              <w:top w:val="single" w:sz="8" w:color="CFF0FC"/>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-496570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80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80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9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at December 31, 2025</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60,389,893</w:t>
            </w:r>
          </w:p>
        </w:tc>
        <w:tc>
          <w:tcPr>
            <w:tcW w:w="860" w:type="dxa"/>
            <w:vAlign w:val="bottom"/>
            <w:gridSpan w:val="2"/>
            <w:shd w:val="clear" w:color="auto" w:fill="CFF0FC"/>
          </w:tcPr>
          <w:p>
            <w:pPr>
              <w:jc w:val="right"/>
              <w:ind w:right="50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657,005</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(424,827)</w:t>
            </w:r>
          </w:p>
        </w:tc>
        <w:tc>
          <w:tcPr>
            <w:tcW w:w="2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232,276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90,735</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settlement of restricted stock units, net of shares</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51,872</w:t>
            </w: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33"/>
        </w:trPr>
        <w:tc>
          <w:tcPr>
            <w:tcW w:w="42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withheld for taxes</w:t>
            </w:r>
          </w:p>
        </w:tc>
        <w:tc>
          <w:tcPr>
            <w:tcW w:w="940" w:type="dxa"/>
            <w:vAlign w:val="bottom"/>
            <w:tcBorders>
              <w:bottom w:val="single" w:sz="8" w:color="CFF0FC"/>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gridSpan w:val="2"/>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gridSpan w:val="2"/>
            <w:vMerge w:val="continue"/>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gridSpan w:val="2"/>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160" w:type="dxa"/>
            <w:vAlign w:val="bottom"/>
            <w:tcBorders>
              <w:bottom w:val="single" w:sz="8" w:color="CFF0FC"/>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(39,728)</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(39,728)</w:t>
            </w:r>
          </w:p>
        </w:tc>
        <w:tc>
          <w:tcPr>
            <w:tcW w:w="0" w:type="dxa"/>
            <w:vAlign w:val="bottom"/>
          </w:tcPr>
          <w:p>
            <w:pPr>
              <w:spacing w:after="0"/>
              <w:rPr>
                <w:sz w:val="1"/>
                <w:szCs w:val="1"/>
                <w:color w:val="auto"/>
              </w:rPr>
            </w:pP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marketable securities, net</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140" w:type="dxa"/>
            <w:vAlign w:val="bottom"/>
          </w:tcPr>
          <w:p>
            <w:pPr>
              <w:spacing w:after="0"/>
              <w:rPr>
                <w:sz w:val="11"/>
                <w:szCs w:val="11"/>
                <w:color w:val="auto"/>
              </w:rPr>
            </w:pPr>
          </w:p>
        </w:tc>
        <w:tc>
          <w:tcPr>
            <w:tcW w:w="11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69"/>
        </w:trPr>
        <w:tc>
          <w:tcPr>
            <w:tcW w:w="42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2026</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60,532,500</w:t>
            </w:r>
          </w:p>
        </w:tc>
        <w:tc>
          <w:tcPr>
            <w:tcW w:w="2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504"/>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660,230</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(464,555)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(96)</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195,580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43,214,918</w:t>
            </w:r>
          </w:p>
        </w:tc>
        <w:tc>
          <w:tcPr>
            <w:tcW w:w="860" w:type="dxa"/>
            <w:vAlign w:val="bottom"/>
            <w:gridSpan w:val="2"/>
            <w:shd w:val="clear" w:color="auto" w:fill="CFF0FC"/>
          </w:tcPr>
          <w:p>
            <w:pPr>
              <w:jc w:val="right"/>
              <w:ind w:right="50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530,002</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(263,520)</w:t>
            </w:r>
          </w:p>
        </w:tc>
        <w:tc>
          <w:tcPr>
            <w:tcW w:w="2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266,587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(44,635)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(44,635)</w:t>
            </w:r>
          </w:p>
        </w:tc>
        <w:tc>
          <w:tcPr>
            <w:tcW w:w="0" w:type="dxa"/>
            <w:vAlign w:val="bottom"/>
          </w:tcPr>
          <w:p>
            <w:pPr>
              <w:spacing w:after="0"/>
              <w:rPr>
                <w:sz w:val="1"/>
                <w:szCs w:val="1"/>
                <w:color w:val="auto"/>
              </w:rPr>
            </w:pPr>
          </w:p>
        </w:tc>
      </w:tr>
      <w:tr>
        <w:trPr>
          <w:trHeight w:val="135"/>
        </w:trPr>
        <w:tc>
          <w:tcPr>
            <w:tcW w:w="42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marketable securities, net</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4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2025</w:t>
            </w:r>
          </w:p>
        </w:tc>
        <w:tc>
          <w:tcPr>
            <w:tcW w:w="9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43,218,873</w:t>
            </w:r>
          </w:p>
        </w:tc>
        <w:tc>
          <w:tcPr>
            <w:tcW w:w="240" w:type="dxa"/>
            <w:vAlign w:val="bottom"/>
          </w:tcPr>
          <w:p>
            <w:pPr>
              <w:spacing w:after="0"/>
              <w:rPr>
                <w:sz w:val="11"/>
                <w:szCs w:val="11"/>
                <w:color w:val="auto"/>
              </w:rPr>
            </w:pPr>
          </w:p>
        </w:tc>
        <w:tc>
          <w:tcPr>
            <w:tcW w:w="620" w:type="dxa"/>
            <w:vAlign w:val="bottom"/>
          </w:tcPr>
          <w:p>
            <w:pPr>
              <w:jc w:val="right"/>
              <w:ind w:right="504"/>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532,166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(308,155)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224,010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-1336675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-1071245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-882650</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-693420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-676910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-693420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-676910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-693420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-676910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-693420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-676910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-693420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-676910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-496570</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-307975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-119380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-119380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-119380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-119380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-119380</wp:posOffset>
            </wp:positionV>
            <wp:extent cx="960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(39,728)</w:t>
            </w: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(44,635)</w:t>
            </w: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operations: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discounts on available-for-sale marketable securities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(730)</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(2,110)</w:t>
            </w: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300" w:type="dxa"/>
            <w:vAlign w:val="bottom"/>
            <w:shd w:val="clear" w:color="auto" w:fill="CFF0FC"/>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(380)</w:t>
            </w: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(515)</w:t>
            </w: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(6,876)</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(1,804)</w:t>
            </w: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(4,351)</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(2,306)</w:t>
            </w: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(503)</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(963)</w:t>
            </w:r>
          </w:p>
        </w:tc>
      </w:tr>
      <w:tr>
        <w:trPr>
          <w:trHeight w:val="196"/>
        </w:trPr>
        <w:tc>
          <w:tcPr>
            <w:tcW w:w="744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(41,597)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(44,915)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395"/>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available-for-sale marketable securities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(115,901)</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(81,122)</w:t>
            </w:r>
          </w:p>
        </w:tc>
      </w:tr>
      <w:tr>
        <w:trPr>
          <w:trHeight w:val="203"/>
        </w:trPr>
        <w:tc>
          <w:tcPr>
            <w:tcW w:w="74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Proceeds from maturities of available-for-sale marketable securities</w:t>
            </w:r>
          </w:p>
        </w:tc>
        <w:tc>
          <w:tcPr>
            <w:tcW w:w="30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65,700</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86,700</w:t>
            </w:r>
          </w:p>
        </w:tc>
        <w:tc>
          <w:tcPr>
            <w:tcW w:w="100" w:type="dxa"/>
            <w:vAlign w:val="bottom"/>
            <w:tcBorders>
              <w:bottom w:val="single" w:sz="8" w:color="CFF0FC"/>
            </w:tcBorders>
          </w:tcPr>
          <w:p>
            <w:pPr>
              <w:spacing w:after="0"/>
              <w:rPr>
                <w:sz w:val="17"/>
                <w:szCs w:val="17"/>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(50,201)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9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paid on finance lease liabilities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w:t>
            </w: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for offering costs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restricted stock units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(414)</w:t>
            </w:r>
          </w:p>
        </w:tc>
      </w:tr>
      <w:tr>
        <w:trPr>
          <w:trHeight w:val="20"/>
        </w:trPr>
        <w:tc>
          <w:tcPr>
            <w:tcW w:w="74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(91,899)</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(39,751)</w:t>
            </w: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124,644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2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tcPr>
          <w:p>
            <w:pPr>
              <w:spacing w:after="0"/>
              <w:rPr>
                <w:sz w:val="17"/>
                <w:szCs w:val="17"/>
                <w:color w:val="auto"/>
              </w:rPr>
            </w:pP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57,422</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statement of financial position</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56,865</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Pr>
          <w:p>
            <w:pPr>
              <w:spacing w:after="0"/>
              <w:rPr>
                <w:sz w:val="17"/>
                <w:szCs w:val="17"/>
                <w:color w:val="auto"/>
              </w:rPr>
            </w:pP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57,422</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for non-cash investing and financing activities</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Unpaid deferred offering costs included in accounts payable and other accrued expenses and current liabilities</w:t>
            </w:r>
          </w:p>
        </w:tc>
        <w:tc>
          <w:tcPr>
            <w:tcW w:w="12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7"/>
                <w:szCs w:val="17"/>
                <w:color w:val="auto"/>
              </w:rPr>
            </w:pP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obtained in exchange for operating and finance lease liability</w:t>
            </w:r>
          </w:p>
        </w:tc>
        <w:tc>
          <w:tcPr>
            <w:tcW w:w="300" w:type="dxa"/>
            <w:vAlign w:val="bottom"/>
            <w:shd w:val="clear" w:color="auto" w:fill="CFF0FC"/>
          </w:tcPr>
          <w:p>
            <w:pPr>
              <w:spacing w:after="0"/>
              <w:rPr>
                <w:sz w:val="17"/>
                <w:szCs w:val="17"/>
                <w:color w:val="auto"/>
              </w:rPr>
            </w:pP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shd w:val="clear" w:color="auto" w:fill="CCEEFF"/>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-3732530</wp:posOffset>
            </wp:positionV>
            <wp:extent cx="93980" cy="170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-3732530</wp:posOffset>
            </wp:positionV>
            <wp:extent cx="93980" cy="170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-3072130</wp:posOffset>
            </wp:positionV>
            <wp:extent cx="939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-3072130</wp:posOffset>
            </wp:positionV>
            <wp:extent cx="939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-1610995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Organization and Liquidity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Kyverna Therapeutics, Inc. (“Kyverna” or “the Company”) is a late-stage clinical biopharmaceutical company focused on developing cell therapies for patients with autoimmune diseases. The lead product candidate, mivocabtagene autoleucel, or miv-cel, and also known as KYV-101, is advancing through late-stage clinical development. The Company is currently focused on advancing its neuroimmunology CAR T franchise, which includes evaluating miv-cel in stiff person syndrome, or SPS, and generalized myasthenia gravis, or gMG. The Company was incorporated on June 14, 2018, was initially named BAIT Therapeutics, Inc., changed its name to Kyverna Therapeutics, Inc. on October 1, 2019, and is headquartered in Emeryville, California.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As of March 31, 2026, the Company had an accumulated deficit of $464.6 million. The Company had net losses of $39.7 million and $44.6 million for the three months ended March 31, 2026 and 2025, respectively. The Company had cash used in operations of $41.6 million and $44.9 million for the three months ended March 31, 2026 and 2025, respectively.</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issuances of redeemable convertible preferred stock and convertible notes, revenue from its collaboration agreement and sale of shares of its common stock and debt financing. On October 31, 2025, the Company entered into a Loan and Security Agreement with Oxford Finance (as defined in Note 8). The Loan and Security Agreement provides a term loan facility (the “Loan Facility”) up to an aggregate principal amount of $150.0 million. On November 3, 2025, the Company borrowed $25.0 million from funds available from the first tranche of the term loan. The Loan Facility matures on October 1, 2030 (see Note 8 for additional details).</w:t>
      </w:r>
    </w:p>
    <w:p>
      <w:pPr>
        <w:spacing w:after="0" w:line="7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and available-for-sale marketable securities of $236.4 million. The Company expects to continue to incur operating losses and negative cash flows from operations to support the development of its product candidates, to expand its product portfolio and to continue its research and development activities, including preclinical studies and clinical trials. The Company’s activities are subject to significant risks and uncertainties, including the completion of requisite clinical activities to support regulatory approvals, market acceptance of the Company’s product candidates, if approved, as well as the timing and extent of spending on research and development. There can be no assurance that the Company will ever earn revenue or achieve profitability, or if achieved, that the revenue or profitability will be sustained on a continuing basis. Unless and until it does, the Company will need to continue to raise additional capital. Based on its current operating plan, management estimates that its existing cash and cash equivalents and available-for-sale marketable securities balances and the term loans available under the Loan and Security Agreement with Oxford Finance will be sufficient to fund its operating plan and capital expenditure requirements for at least the next 12 months from the issuance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U.S. generally accepted accounting principles (“U.S. GAAP”) and the requirements of the Securities and Exchange Commission (the “SEC”) for interim reporting. As permitted under those rules, certain footnotes or other financial information that are normally required by U.S. GAAP can be condensed or omitted. These condensed financial statements have been prepared on the same basis as the annual financial statements included in the Annual Report on Form 10-K for the fiscal year ended December 31, 2025, filed with the SEC on March 26, 2026.</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information in these condensed financial statements reflects all adjustments, all of which are of a normal and recurring nature necessary for a fair statement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83"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U.S. GAAP as found in the Accounting Standards Codification (“ASC”) and Accounting Standards Updates (“ASU”) of the Financial Accounting Standards Board (“FASB”).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accrued expenses and stock-based compensation. Management bases its estimates on historical experience and on various other assumptions that are believed to be reasonable under the circumstances, the results of which form the basis for making judgments about the carrying values of assets and liabilities and the amount reported as revenue and expenses that are not readily apparent from other sources. Actual results may differ materially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accounting policies discussed in Note 2 to the financial statements included in the Company’s Annual Report on Form 10-K for the fiscal year ended December 31, 2025, filed with the SEC on March 26,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amendments in ASU No. 2024-03 require a public business entity to disclose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ASU No. 2024-03 is effective for fiscal years beginning after December 15, 2026, and for interim periods within fiscal years beginning after December 15, 2027, with early adoption permitted. The Company is currently evaluating the impact of the adoption of this standard on its financial statements.</w:t>
      </w:r>
    </w:p>
    <w:p>
      <w:pPr>
        <w:spacing w:after="0" w:line="7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Intangibles - Goodwill and Other - Internal-Use Software (Subtopic 350-40): </w:t>
      </w:r>
      <w:r>
        <w:rPr>
          <w:rFonts w:ascii="Times New Roman" w:cs="Times New Roman" w:eastAsia="Times New Roman" w:hAnsi="Times New Roman"/>
          <w:sz w:val="18"/>
          <w:szCs w:val="18"/>
          <w:i w:val="1"/>
          <w:iCs w:val="1"/>
          <w:color w:val="auto"/>
        </w:rPr>
        <w:t>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amendments in ASU No. 2025-06 remove all references to prescriptive and sequential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development stages. This ASU requires entities to begin capitalizing software costs when management authorizes and commits to funding the software project, and it is probable that the project will be completed and the software will be used for its intended purpose. ASU No. 2025-06 is effective for fiscal years beginning after December 15, 2027, with early adoption permitted. The Company is currently evaluating the impact of the adoption of this standard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Fair Value Measurements and Fair Value of Financial Instruments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authoritative guidance on fair value measurements establishes a three-tier fair value hierarchy for disclosure of fair value measurements, as follows: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market data for substantially the full term of the assets or liabilities.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instruments measured at fair value on a recurring basis as of March 31, 2026,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232,912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218,442</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instruments measured at fair value on a recurring basis as of December 31, 2025,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155,160</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available-for-sale marketable securities. Cash equivalents consisted of money market funds, corporate debt obligations and U.S. Treasury bills, and available-for-sale marketable securities consisted of U.S. Treasury bills and U.S. Government bonds. The Company obtains pricing information from its investment manager and generally determines the fair value of available-for-sale marketable securities using standard observable inputs, including reported trades, broker/dealer quotes and bids and/or offers. The Company recognizes transfers into and out of levels within the fair value hierarchy in the period in which the actual event or change in circumstances that caused the transfer occurs.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Available-for-Sale Marketable Securities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available-for-sale marketable securities consisted of debt securities issued by the U.S. Treasury and corporate debt obligations with contractual maturities on various dates within the next 12 months.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ind w:right="48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March 31, 2026 (in thousands):</w:t>
      </w:r>
    </w:p>
    <w:tbl>
      <w:tblPr>
        <w:tblLayout w:type="fixed"/>
        <w:tblInd w:w="0" w:type="dxa"/>
        <w:tblCellMar>
          <w:top w:w="0" w:type="dxa"/>
          <w:left w:w="0" w:type="dxa"/>
          <w:bottom w:w="0" w:type="dxa"/>
          <w:right w:w="0" w:type="dxa"/>
        </w:tblCellMar>
      </w:tblPr>
      <w:tr>
        <w:trPr>
          <w:trHeight w:val="131"/>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 ($2,300 included in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147,945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obligations (included in cash and cash equivalents)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$28.7 million was included in cash equivalents and $204.3 million was included in available-for-sale marketable securities.</w:t>
      </w:r>
    </w:p>
    <w:p>
      <w:pPr>
        <w:spacing w:after="0" w:line="11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unrealized gains and losses and fair value of the Company’s available-for-sale marketable securities as of December 31, 2025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44</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 for sale marketable securities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277,229</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96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no significant facts or circumstances were present to indicate a deterioration in the creditworthiness of the issuers of the Company’s marketable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by such conditions. For all securities with a fair value less than its amortized cost basis, the Company determined the decline in fair value below amortized cost basis to be immaterial and non-credit related, and therefore no allowance for losses has been recorded. During the three months ended March 31, 2026 and 2025, the Company did not recognize any impairment losses on its investments.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each of March 31, 2026 and December 31, 2025, accrued interest receivable was $1.2 million and $0.6 million, respectively. The Company’s accounting policy is to not measure an allowance for credit losses for accrued interest receivables and to write-off any uncollectible accrued interest receivable as a reversal of interest income in a timely manner, which it considers to be in the period in which the Company determines the accrued interest will not be collected. During the three months ended March 31, 2026 and 2025, the Company did not write off any accrued interest receivables.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9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0"/>
        </w:trPr>
        <w:tc>
          <w:tcPr>
            <w:tcW w:w="5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FF0FC"/>
          </w:tcPr>
          <w:p>
            <w:pPr>
              <w:spacing w:after="0"/>
              <w:rPr>
                <w:sz w:val="19"/>
                <w:szCs w:val="19"/>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$0.2 million and $0.3 million for the three months ended March 31, 2026 and 2025, respectively. The Company recognized zero and $0.6 million in impairment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400"/>
        <w:spacing w:after="0" w:line="282" w:lineRule="auto"/>
        <w:rPr>
          <w:sz w:val="20"/>
          <w:szCs w:val="20"/>
          <w:color w:val="auto"/>
        </w:rPr>
      </w:pPr>
      <w:r>
        <w:rPr>
          <w:rFonts w:ascii="Times New Roman" w:cs="Times New Roman" w:eastAsia="Times New Roman" w:hAnsi="Times New Roman"/>
          <w:sz w:val="18"/>
          <w:szCs w:val="18"/>
          <w:color w:val="auto"/>
        </w:rPr>
        <w:t>charges related to capitalized software as research and development expenses in the condensed statement of operations and comprehensive loss for the three months ended March 31, 2026 and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Accrued Expenses and Current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77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 - Contract Research Organizations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4,041</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 - Contract Manufacturing Organizations</w:t>
            </w: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3,021</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9,222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License Agreements with the National Institutes of Health</w:t>
      </w:r>
    </w:p>
    <w:p>
      <w:pPr>
        <w:spacing w:after="0" w:line="121"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In May 2021, the Company entered into two patent license agreements (the “NIH Agreements”) with the National Institutes of Health (the “NIH”), pursuant to which the Company obtained exclusive, worldwide licenses to certain patents to use an anti-CD19 CAR in the Company’s autologous and allogeneic CAR T-cell products for the treatment of patients with autoimmune disease. The Company paid $3.3 million for acquired licenses.</w:t>
      </w:r>
    </w:p>
    <w:p>
      <w:pPr>
        <w:spacing w:after="0" w:line="5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Under the NIH Agreements, commencing in January 2023 and subsequently on January 1 of each calendar year thereafter, the Company is also required to make minimum annual royalty payments of $0.2 million, which shall be credited against any earned royalties due based on a low single-digit percentage of net sales made in a respective year. In addition, benchmark royalties following the completion of certain regulatory-and clinical-related benchmarks are due to the NIH, with the minimum cumulative royalty due for a product reaching FDA approval or foreign-equivalent approval totaling $5.7 million for the autologous patent license agreement and $1.7 million for the allogeneic patent license agreement. Additional benchmark royalties would be payable for a subsequent indication under each NIH Agreement. If the Company enters into a sublicensing agreement, it will be required to pay the NIH a sublicense royalty payment as a percentage of the fair market value of any consideration received for each sublicense granted. The sublicensing percentage starts at a high teens to low twenties percentage if clinical trials for the product have not yet begun and decreases to a mid-single-digit percentage if the product has received FDA approval or foreign-equivalent approval.</w:t>
      </w:r>
    </w:p>
    <w:p>
      <w:pPr>
        <w:spacing w:after="0" w:line="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Unless terminated sooner, the NIH Agreements remain in effect until the last licensed patent right granted pursuant to the respective agreement expires.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acquisition of the licenses, including patent rights and know-how, was accounted for as an asset acquisition. As the acquired technology did not have an alternative use for accounting purposes, the consideration of $3.3 million was recorded as research and development expense in the statements of operations and comprehensive loss for the year ended December 31, 2021. The Company recognized $0.2 million as research and development expense related to minimum annual royalty payments for each of the three months ended March 31, 2026 and 2025. As of March 31, 2026 and December 31, 2025, the Company recorded $1.0 million and zero, respectively, related to benchmark royalties for patients’ dosing in clinical trials as other accrued expenses and current liabilities on the condensed balance sheets. The Company recorded $1.0 million and zero related to the benchmark royalties as research and development expenses on the condensed statement of operations and comprehensive loss for the three months ended March 31, 2026 and 2025, respectively. No other benchmark royalties were probable or payable as of March 31, 2026 and December 31, 2025.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 License and Collaboration Agreement</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License and Collaboration Agreement (the “Intellia Agreement”) with Intellia Therapeutics, Inc. (“Intellia”) to research and develop an allogeneic CD19-directed CAR cell therapy product (the “CRISPR Product”), suitable for validation through pre-clinical and clinical proof-of-concept clinical trials, including the performance of activities as agreed in the collaboration plan. Pursuant to the Intellia Agreement, Intellia granted to the Company an exclusive, worldwide, sublicensable in multiple tiers, royalty bearing license under certain of Intellia’s intellectual property to research, develop, sell and otherwise exploit the CRISPR Product. The Company is performing the majority of the work under the collaboration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consideration for the licenses granted to the Company pursuant to the Intellia Agreement, the Company issued to Intellia shares of its Series B Preferred Stock with the fair value of $7.0 million. The Company is also obligated to make aggregate milestone payments to Intellia of up to $64.5 million upon the achievement of specified development and regulatory milestones and is obligated to pay to Intellia low to mid-single-digit royalties as a percentage of annual worldwide sales, subject to certain adjustments, and additional potential royalties and milestones to Intellia’s licensors. The royalties are payable on a country-by-country basis, commencing upon the first commercial sale of the CRISPR Product in the applicable country and expiring upon the later of (i) 12 years after the first commercial sale or (ii) the expiration of the last-to-expire valid patent claim.</w:t>
      </w:r>
    </w:p>
    <w:p>
      <w:pPr>
        <w:spacing w:after="0" w:line="7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Under the Intellia Agreement, Intellia owns rights, title and interests in and to any intellectual property developed in the course of performance under the Intellia Agreement that is not specifically directed to the CRISPR Product. The Company granted to Intellia certain non-exclusive, royalty-free, fully paid-up, worldwide licenses under the Company’s intellectual property solely to perform the activities designated to Intellia under the collaboration, and to research, develop or otherwise exploit any human therapeutic product that is developed or commercialized by Intellia, utilizes or incorporates Intellia intellectual property and that is not the CRISPR Product or any product directed to CD19 or any other B-cell antigen.</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Company granted Intellia an exclusive option (the “Intellia Option”) to enter into a co-development and co-commercialization agreement with the Company for the CRISPR Product, (the “Co-Co Agreement”) for a fee payable to the Company. If Intellia exercises the Intellia Option, the Company and Intellia would share equally the regulatory and clinical development expenses associated with obtaining approval of the CRISPR Product in the U.S. and would also share equally all net profits and losses from commercialization of the CRISPR Product in the U.S. If Intellia exercises the Intellia Option, no milestone payments will be due and payable from that time forward and the Company will only pay royalties on sales outside of the U.S. In addition, upon exercise of the Intellia Option, following regulatory approval of the CRISPR Product, Intellia will have exclusive commercialization rights for the CRISPR Product for U.S. administration, subject to the Company’s rights to co-promote the CRISPR Product in the U.S., and the Company will retain the sole and exclusive rights to research, develop, or otherwise exploit the CRISPR Product for rest-of-world administration and shall have sole decision-making authority in relation thereto, subject to the parties’ obligations to cooperate regarding certain development, regulatory and commercialization strategies.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term of the Co-Co Agreement, subject to certain exceptions, neither party will clinically develop or commercialize a cell therapy product directed to CD19 other than the CRISPR Product for use in the treatment or prevention of certain indications set forth in the Intellia Agreement and any additional indication that the parties mutually agree to include (any such product, a “Competitive Product”); provided, however, that (i) any products for use in any indications that are the subject of a development program or third-party collaboration as of the effective date of the Co-Co Agreement shall not be considered Competitive Products and (ii) any products for use in any additional indications that are the subject of a development program or third-party collaboration as of the date that such additional indications are included in the global development plan shall not be considered Competitive Products.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Intellia Agreement terminates on a country-by-country basis upon the expiration of the last valid claim within Intellia’s patent rights covering the CRISPR Product within such country, unless the agreement is earlier terminated in its entirety by either party for insolvency, by either party for material breach of contract, by Intellia if the Company participates in legal action or proceeding challenging the validity or enforceability of Intellia’s patents, or by the execution of the Co-Co Agreement. The Company may terminate the Intellia Agreement in its entirety, or on a country-by-country basis, by providing a written notice after the expiration or termination of the Intellia Option. Following the expiration of the term for a given country, the licenses granted to the Company in such country will automatically become fully paid-up, perpetual, irrevocable and royalty-free licenses.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milestone payments were probable or payable as of March 31, 2026 and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Kite License Agreement (Related Party)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the License Agreement with Kite Therapeutics, Inc. ("Kite"), a subsidiary of Gilead Sciences, Inc. ("Gilead") (the "Kite Agreement"). Pursuant to the Kite Agreement, Kite granted to the Company a ten-year, co-exclusive license for the SynNotch technology primarily used in the Company’s own internal research and development programs for the treatment, diagnosis or prevention of autoimmune, inflammatory or allogeneic stem cell transplant inflammatory diseases (excluding post-transplant infectious diseases).</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Kite had licensed certain of the SynNotch technology included in the Kite Agreement pursuant to that certain Amended and Restated Exclusive License Agreement, between The Regents of the University of California and Kite (as successor to Cell Design Labs, Inc.) (the “UCSF License Agreement”). The Company was responsible for all costs and payments arising under the UCSF License Agreement and as a result of activities under the Kite Agreement, including earned royalties based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on a low single-digit percentage of net sales, milestone payments in an aggregate amount of up to $10.8 million and accrued interest payables.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Kite Agreement, the Company was also obligated to pay mid-teen-and mid-single-digit percentages of annual maintenance fees, minimum annual royalties and patent prosecution costs payable under the UCSF License Agreement. The Company was also obligated to pay a $6.3 million sublicensing fee under the UCSF License Agreement, which the Company agreed to offset with future milestone payments payable by Gilead under the Gilead Collaboration, Option and License Agreement, which was terminated in January 2024.</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October 2025, the Company, Gilead and Kite agreed to settle the outstanding balance as follows: (1) a payment of $2.5 million by the Company to Kite in cash within 30 days; and (2) the remaining balance of $3.8 million to settle no later than December 31, 2026, through an issuance of the Company's common stock to Kite at market price, a cash payment, or any combination of both cash payment and common stock issuance, at the discretion of the Company. The parties also agreed to terminate the Kite Agreement and released one another from any further obligations. The Company paid $2.5 million to Kite in November 2025 and the remaining balance of $3.8 million is presented as current accrued license expense – related party in the condensed balance sheets as of March 31, 2026 and December 31,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leased office and laboratory space in Emeryville, California under operating leases (the “Emeryville Lease”). On February 27, 2026, the Company entered into a lease amendment to reduce total office and lab space and add new office space in the same building commencing around July 1, 2026. The term of the Emeryville Lease has been extended through August 31, 2030. Base rent payments under the lease amendment are approximately $0.2 million per month. In addition to the base rent, which includes escalating payments over the lease term, the Company pays variable costs related to operating expenses and taxes, which are recognized as incurred.</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Company also has multiple leases for laboratory equipment with terms of 36 months that are accounted for as finance leases. Some of the Company’s office and lab space were leased under short-term lease agreements during the three months ended March 31, 2026 and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the lease expense for the three months ended March 31, 2026 and 2025, were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20" w:type="dxa"/>
            <w:vAlign w:val="bottom"/>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2"/>
                <w:szCs w:val="12"/>
                <w:color w:val="auto"/>
              </w:rPr>
            </w:pPr>
          </w:p>
        </w:tc>
        <w:tc>
          <w:tcPr>
            <w:tcW w:w="130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66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300" w:type="dxa"/>
            <w:vAlign w:val="bottom"/>
            <w:gridSpan w:val="2"/>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6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6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FF0FC"/>
            </w:tcBorders>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36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4100" w:type="dxa"/>
            <w:vAlign w:val="bottom"/>
          </w:tcPr>
          <w:p>
            <w:pPr>
              <w:spacing w:after="0"/>
              <w:rPr>
                <w:sz w:val="24"/>
                <w:szCs w:val="24"/>
                <w:color w:val="auto"/>
              </w:rPr>
            </w:pPr>
          </w:p>
        </w:tc>
        <w:tc>
          <w:tcPr>
            <w:tcW w:w="364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the three months ended March 31, 2026 and 2025 (in thousands):</w:t>
      </w:r>
    </w:p>
    <w:p>
      <w:pPr>
        <w:spacing w:after="0" w:line="32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8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87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6"/>
        </w:trPr>
        <w:tc>
          <w:tcPr>
            <w:tcW w:w="8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198"/>
        </w:trPr>
        <w:tc>
          <w:tcPr>
            <w:tcW w:w="876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lease</w:t>
            </w: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8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obligations upon inception of lease (noncash):</w:t>
            </w: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8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the Company's future lease payments and liabilities as of March 31, 2026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142"/>
        </w:trPr>
        <w:tc>
          <w:tcPr>
            <w:tcW w:w="4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0"/>
        </w:trPr>
        <w:tc>
          <w:tcPr>
            <w:tcW w:w="494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8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4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weighted-average remaining lease term and discount rate related to the Company’s operating lease liabilities as of March 31, 2026 were 4.4 years and 14.5%, respectively. The weighted-average remaining lease term and discount rate related to the Company’s finance lease liabilities as of March 31, 2026, were 0.6 years and 10%, respectively. The weighted-average remaining lease term and discount rate related to the Company’s operating lease liabilities as of December 31, 2025, were 1.1 years and 9%, respectively. The weighted-average remaining lease term and discount rate related to the Company’s finance lease liabilities as of December 31, 2025, were 0.8 years and 10%, respectively. The discount rates were based on the Company’s estimate of its incremental borrowing rate, as the discount rates implicit in the leases could not be readily determined. The Company estimated the incremental borrowing rate based on its estimated credit rating and available market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license agreements with the NIH, Intellia and Kite, pursuant to which the Company is required to pay certain milestone payments contingent upon the achievement of specific development and regulatory events, and royalties on sales of products developed under these agreements (See Note 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clinical research organizations (“CROs”) for clinical trials, with clinical manufacturing organizations (“CMOs”) for clinical supplies manufacturing and with other vendors for preclinical studies, supplies and other products and services for operating purposes. These agreements generally provide for termination at the request of either party generally with less than one-year notice. The Company did not expect any of these agreements to be terminated and did not have any non-cancellable obligations under these agreements as of March 31,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is required to determine both probability and the estimated amount. Legal fees and other costs associated with such proceedings are expensed as incurred.</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1D252D"/>
        </w:rPr>
        <w:t>O</w:t>
      </w:r>
      <w:r>
        <w:rPr>
          <w:rFonts w:ascii="Times New Roman" w:cs="Times New Roman" w:eastAsia="Times New Roman" w:hAnsi="Times New Roman"/>
          <w:sz w:val="18"/>
          <w:szCs w:val="18"/>
          <w:color w:val="000000"/>
        </w:rPr>
        <w:t>n December 9, 2024, a shareholder class action complaint was filed in the United States District Court for the Northern District of California</w:t>
      </w:r>
      <w:r>
        <w:rPr>
          <w:rFonts w:ascii="Times New Roman" w:cs="Times New Roman" w:eastAsia="Times New Roman" w:hAnsi="Times New Roman"/>
          <w:sz w:val="18"/>
          <w:szCs w:val="18"/>
          <w:color w:val="1D252D"/>
        </w:rPr>
        <w:t xml:space="preserve"> </w:t>
      </w:r>
      <w:r>
        <w:rPr>
          <w:rFonts w:ascii="Times New Roman" w:cs="Times New Roman" w:eastAsia="Times New Roman" w:hAnsi="Times New Roman"/>
          <w:sz w:val="18"/>
          <w:szCs w:val="18"/>
          <w:color w:val="000000"/>
        </w:rPr>
        <w:t>against the Company, certain of its current and former officers and directors, and the underwriters of the IPO. Per a stipulated schedule, an amended complaint was filed on May 2, 2025 (the “Amended Complaint”). The Amended Complaint alleges that the registration statement on Form S-1 filed in connection with the IPO and the prospectus contained therein contained material misstatements or omissions in violation of federal securities laws. Pursuant to a stipulated order setting a response schedule, on June 26, 2025, the defendants filed a motion to dismiss all the claims, with the plaintiff filing an opposition on August 18, 2025. The defendants filed their reply brief in support of the motion to dismiss on September 26, 2025. Following oral argument, on March 23, 2026, the court issued an order granting defendants’ motion to dismiss on all claims, with leave to amend the complaint. On April 20, 2026, Plaintiff filed another amended complaint alleging the same claims under the Securities Act of 1933, as amended. Defendants intend to file a motion to dismiss all claims in the amended complaint.</w:t>
      </w:r>
    </w:p>
    <w:p>
      <w:pPr>
        <w:spacing w:after="0" w:line="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on May 14, 2025, a stockholder derivative complaint was filed in the United States District Court for the </w:t>
      </w:r>
      <w:r>
        <w:rPr>
          <w:rFonts w:ascii="Times New Roman" w:cs="Times New Roman" w:eastAsia="Times New Roman" w:hAnsi="Times New Roman"/>
          <w:sz w:val="18"/>
          <w:szCs w:val="18"/>
          <w:color w:val="1D252D"/>
        </w:rPr>
        <w:t>Northern District of California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252D"/>
        </w:rPr>
        <w:t xml:space="preserve">against certain of the Company's current and former officers and directors which was captioned </w:t>
      </w:r>
      <w:r>
        <w:rPr>
          <w:rFonts w:ascii="Times New Roman" w:cs="Times New Roman" w:eastAsia="Times New Roman" w:hAnsi="Times New Roman"/>
          <w:sz w:val="18"/>
          <w:szCs w:val="18"/>
          <w:i w:val="1"/>
          <w:iCs w:val="1"/>
          <w:color w:val="1D252D"/>
        </w:rPr>
        <w:t>Perez v. Seidenberg, et al.,</w:t>
      </w:r>
      <w:r>
        <w:rPr>
          <w:rFonts w:ascii="Times New Roman" w:cs="Times New Roman" w:eastAsia="Times New Roman" w:hAnsi="Times New Roman"/>
          <w:sz w:val="18"/>
          <w:szCs w:val="18"/>
          <w:color w:val="1D252D"/>
        </w:rPr>
        <w:t xml:space="preserve"> Case No. 3:25-cv-04163- </w:t>
      </w:r>
      <w:r>
        <w:rPr>
          <w:rFonts w:ascii="Times New Roman" w:cs="Times New Roman" w:eastAsia="Times New Roman" w:hAnsi="Times New Roman"/>
          <w:sz w:val="18"/>
          <w:szCs w:val="18"/>
          <w:i w:val="1"/>
          <w:iCs w:val="1"/>
          <w:color w:val="1D252D"/>
        </w:rPr>
        <w:t>PCP</w:t>
      </w:r>
      <w:r>
        <w:rPr>
          <w:rFonts w:ascii="Times New Roman" w:cs="Times New Roman" w:eastAsia="Times New Roman" w:hAnsi="Times New Roman"/>
          <w:sz w:val="18"/>
          <w:szCs w:val="18"/>
          <w:color w:val="1D252D"/>
        </w:rPr>
        <w:t xml:space="preserve"> (the “Perez Action”). On May 22, 2025, another stockholder derivative complaint was filed alleging the same claims against the same individual defendants captioned </w:t>
      </w:r>
      <w:r>
        <w:rPr>
          <w:rFonts w:ascii="Times New Roman" w:cs="Times New Roman" w:eastAsia="Times New Roman" w:hAnsi="Times New Roman"/>
          <w:sz w:val="18"/>
          <w:szCs w:val="18"/>
          <w:i w:val="1"/>
          <w:iCs w:val="1"/>
          <w:color w:val="1D252D"/>
        </w:rPr>
        <w:t>McDaniel v. Seidenberg, et al.</w:t>
      </w:r>
      <w:r>
        <w:rPr>
          <w:rFonts w:ascii="Times New Roman" w:cs="Times New Roman" w:eastAsia="Times New Roman" w:hAnsi="Times New Roman"/>
          <w:sz w:val="18"/>
          <w:szCs w:val="18"/>
          <w:color w:val="1D252D"/>
        </w:rPr>
        <w:t xml:space="preserve">, Case No. 3:25-cv-04393-PCP (the “McDaniel Action”, and together with the Perez Action, the “Derivative Actions”). The 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 consolidate the Derivative Actions as </w:t>
      </w:r>
      <w:r>
        <w:rPr>
          <w:rFonts w:ascii="Times New Roman" w:cs="Times New Roman" w:eastAsia="Times New Roman" w:hAnsi="Times New Roman"/>
          <w:sz w:val="18"/>
          <w:szCs w:val="18"/>
          <w:i w:val="1"/>
          <w:iCs w:val="1"/>
          <w:color w:val="1D252D"/>
        </w:rPr>
        <w:t>In re Kyverna</w:t>
      </w:r>
      <w:r>
        <w:rPr>
          <w:rFonts w:ascii="Times New Roman" w:cs="Times New Roman" w:eastAsia="Times New Roman" w:hAnsi="Times New Roman"/>
          <w:sz w:val="18"/>
          <w:szCs w:val="18"/>
          <w:color w:val="1D252D"/>
        </w:rPr>
        <w:t xml:space="preserve"> </w:t>
      </w:r>
      <w:r>
        <w:rPr>
          <w:rFonts w:ascii="Times New Roman" w:cs="Times New Roman" w:eastAsia="Times New Roman" w:hAnsi="Times New Roman"/>
          <w:sz w:val="18"/>
          <w:szCs w:val="18"/>
          <w:i w:val="1"/>
          <w:iCs w:val="1"/>
          <w:color w:val="1D252D"/>
        </w:rPr>
        <w:t>Therapeutics Derivative Litigation</w:t>
      </w:r>
      <w:r>
        <w:rPr>
          <w:rFonts w:ascii="Times New Roman" w:cs="Times New Roman" w:eastAsia="Times New Roman" w:hAnsi="Times New Roman"/>
          <w:sz w:val="18"/>
          <w:szCs w:val="18"/>
          <w:color w:val="1D252D"/>
        </w:rPr>
        <w:t>, Case No. 5:25-cv-04163-PCP. Finally, on July 22, 2025, the court entered a stipulation and order staying the</w:t>
      </w:r>
      <w:r>
        <w:rPr>
          <w:rFonts w:ascii="Times New Roman" w:cs="Times New Roman" w:eastAsia="Times New Roman" w:hAnsi="Times New Roman"/>
          <w:sz w:val="18"/>
          <w:szCs w:val="18"/>
          <w:i w:val="1"/>
          <w:iCs w:val="1"/>
          <w:color w:val="1D252D"/>
        </w:rPr>
        <w:t xml:space="preserve"> </w:t>
      </w:r>
      <w:r>
        <w:rPr>
          <w:rFonts w:ascii="Times New Roman" w:cs="Times New Roman" w:eastAsia="Times New Roman" w:hAnsi="Times New Roman"/>
          <w:sz w:val="18"/>
          <w:szCs w:val="18"/>
          <w:color w:val="1D252D"/>
        </w:rPr>
        <w:t>consolidated derivative action pending the disposition of the motion to dismiss the Amended Complaint in the related securities class action.</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1D252D"/>
        </w:rPr>
        <w:t>The Company believes it has good and substantial defenses to the claims in the Amended Complaint and the Derivative Actions, but there is no guara</w:t>
      </w:r>
      <w:r>
        <w:rPr>
          <w:rFonts w:ascii="Times New Roman" w:cs="Times New Roman" w:eastAsia="Times New Roman" w:hAnsi="Times New Roman"/>
          <w:sz w:val="18"/>
          <w:szCs w:val="18"/>
          <w:color w:val="000000"/>
        </w:rPr>
        <w:t>ntee that it will be successful in these efforts. The Company is unable to determine whether any loss ultimately will occur or to estimate the range of</w:t>
      </w:r>
      <w:r>
        <w:rPr>
          <w:rFonts w:ascii="Times New Roman" w:cs="Times New Roman" w:eastAsia="Times New Roman" w:hAnsi="Times New Roman"/>
          <w:sz w:val="18"/>
          <w:szCs w:val="18"/>
          <w:color w:val="1D252D"/>
        </w:rPr>
        <w:t xml:space="preserve"> </w:t>
      </w:r>
      <w:r>
        <w:rPr>
          <w:rFonts w:ascii="Times New Roman" w:cs="Times New Roman" w:eastAsia="Times New Roman" w:hAnsi="Times New Roman"/>
          <w:sz w:val="18"/>
          <w:szCs w:val="18"/>
          <w:color w:val="000000"/>
        </w:rPr>
        <w:t>such loss; therefore, no amount of loss has been accrued in the accompanying condensed financial statements as of and for the three months ended March 31, 2026. The Company did not have any accruals for the matters described above on its condensed balance sheets as of March 31, 2026 and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March 31, 2026 and December 31, 2025, the Company did not have any material indemnification claims that were probable or reasonably possible.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Term Loan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October 31, 2025, the Company entered into a Loan and Security Agreement (the “Loan and Security Agreement”) with Oxford Finance LLC (“Oxford Finance”) as collateral agent (the “Collateral Agent”), and certain lenders from time to time party thereto (the “Lenders”). The Loan and Security Agreement provides a term loan facility (the “Loan Facility”) up to an aggregate principal amount of $150.0 million in senior secured credit facilities. The Loan Facility provides for term loans to be funded in multiple tranches, subject to the satisfaction of specified conditions. The term loans include (i) up to $40.0 million of Term A Loans available during the initial draw period of up to June 30, 2026, (ii) a single Term B Loan of $5.0 million to $20.0 million available upon achievement of specified clinical milestones but no later than June 30, 2026, (iii) up to $40.0 million of Term C Loans available upon achievement of specified revenue and clinical milestones but no later than December 31, 2027, and (iv) an additional discretionary Term D Loan of up to $50.0 million upon the Company’s request, subject to the Lenders’ approval. On November 3, 2025, the Company drew $25.0 million from funds available from the first tranche of Term A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Outstanding borrowings under the Loan Facility bear interest at a floating rate equal to the greater of (i) one-month CME Term Secured Overnight Funding Rate “SOFR” administered by CME Group Benchmark Administrator or (ii) 3.75%, plus a margin of 5.00%, subject to a minimum interest rate floor of 8.75%. Interest is computed on the basis of a 360-day year and is payable monthly. The Company is required to make monthly interest-only payments through the applicable amortization date. Thereafter, principal is repaid in equal monthly installments over either 24 months or 12 months, depending on whether specified revenue milestones are achieved. If such milestones are not achieved, principal amortization will begin on November 1, 2028 and will be payable in equal monthly installments over a 24-month period. If the milestones are achieved, principal amortization will begin on November1, 2029 and will be payable in equal monthly installments over a 12-month period. All outstanding principal and accrued interest are due and payable at maturity on October 1, 2030.</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obligations under the Loan Facility are secured by a first-priority security interest in substantially all of the Company’s assets, including its intellectual property, subject to customary exceptions. The Loan and Security Agreement contains customary affirmative and negative covenants, including covenants relating to reporting requirements, maintenance of insurance, payment of taxes, limitations on indebtedness, liens, asset dispositions, mergers, and dividends. Beginning on the applicable cash covenant commencement date, but no later than February 28, 2027, the Company is required to maintain minimum unrestricted cash balances in controlled accounts equal to a specified percentage of the outstanding term loan principal, with such percentage decreasing upon achievement of specified regulatory approvals and revenue milestones. The Loan Facility also includes minimum revenue covenants beginning in 2027, subject to certain cash and market capitalization exceptions.</w:t>
      </w:r>
    </w:p>
    <w:p>
      <w:pPr>
        <w:spacing w:after="0" w:line="18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The Term Loan Agreement includes customary events of default, including payment defaults, covenant violations, insolvency events, material adverse changes, delisting from Nasdaq, and certain judgments. Upon the occurrence of an event of default, the Lenders may, among other remedies, declare all outstanding obligations immediately due and payable and exercise remedies against the collateral. The Company was in compliance with applicable covenants as of March 31, 2026.</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the term loan balance was $24.8 million, which includes borrowed $25.0 million under the Term A Loans net of unamortized debt discount and debt issuance costs of $0.2 million. The Company recognized $0.6 million interest expense in the condensed statement of operations and comprehensive loss for the three months ended March 31, 2026. As of March 31, 2026, the Company had $0.2 million accrued interest, which is presented in the other accrued expenses and current liabilities. The Company also recognized less than $0.1 million related to debt issuance costs allocated to undrawn term loans in prepaid expenses and other current assets, which are amortized to interest expense over the 12 months. As of March 31, 2026, less than $0.1 million was unamortized and included in the prepaid expenses and other current assets in the condensed balance sheet. Effective interest rate was 10.8% for the three months ended March 31, 2026.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common stock shares reserved for future issuance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1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22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700" w:type="dxa"/>
            <w:vAlign w:val="bottom"/>
          </w:tcPr>
          <w:p>
            <w:pPr>
              <w:spacing w:after="0"/>
              <w:rPr>
                <w:sz w:val="12"/>
                <w:szCs w:val="12"/>
                <w:color w:val="auto"/>
              </w:rPr>
            </w:pPr>
          </w:p>
        </w:tc>
        <w:tc>
          <w:tcPr>
            <w:tcW w:w="2100" w:type="dxa"/>
            <w:vAlign w:val="bottom"/>
            <w:tcBorders>
              <w:top w:val="single" w:sz="8" w:color="auto"/>
              <w:bottom w:val="single" w:sz="8" w:color="auto"/>
            </w:tcBorders>
          </w:tcPr>
          <w:p>
            <w:pPr>
              <w:jc w:val="right"/>
              <w:ind w:right="8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100" w:type="dxa"/>
            <w:vAlign w:val="bottom"/>
            <w:tcBorders>
              <w:top w:val="single" w:sz="8" w:color="auto"/>
              <w:bottom w:val="single" w:sz="8" w:color="auto"/>
            </w:tcBorders>
          </w:tcPr>
          <w:p>
            <w:pPr>
              <w:jc w:val="right"/>
              <w:ind w:right="8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 awards</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10,659,852</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9,330,722</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 awards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1,734,033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1,282,404</w:t>
            </w:r>
          </w:p>
        </w:tc>
        <w:tc>
          <w:tcPr>
            <w:tcW w:w="100" w:type="dxa"/>
            <w:vAlign w:val="bottom"/>
          </w:tcPr>
          <w:p>
            <w:pPr>
              <w:spacing w:after="0"/>
              <w:rPr>
                <w:sz w:val="18"/>
                <w:szCs w:val="18"/>
                <w:color w:val="auto"/>
              </w:rPr>
            </w:pPr>
          </w:p>
        </w:tc>
      </w:tr>
      <w:tr>
        <w:trPr>
          <w:trHeight w:val="198"/>
        </w:trPr>
        <w:tc>
          <w:tcPr>
            <w:tcW w:w="6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options grants under the 2024 Equity Incentive Plan and the</w:t>
            </w:r>
          </w:p>
        </w:tc>
        <w:tc>
          <w:tcPr>
            <w:tcW w:w="2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Amended and Restated 2024 Inducement Equity Incentive Plan</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5,040,867</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2,944,739</w:t>
            </w:r>
          </w:p>
        </w:tc>
        <w:tc>
          <w:tcPr>
            <w:tcW w:w="100" w:type="dxa"/>
            <w:vAlign w:val="bottom"/>
            <w:shd w:val="clear" w:color="auto" w:fill="CFF0FC"/>
          </w:tcPr>
          <w:p>
            <w:pPr>
              <w:spacing w:after="0"/>
              <w:rPr>
                <w:sz w:val="20"/>
                <w:szCs w:val="20"/>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grants under the Employee Stock Purchase Plan</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1,266,000</w:t>
            </w:r>
          </w:p>
        </w:tc>
        <w:tc>
          <w:tcPr>
            <w:tcW w:w="240" w:type="dxa"/>
            <w:vAlign w:val="bottom"/>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844,000</w:t>
            </w:r>
          </w:p>
        </w:tc>
        <w:tc>
          <w:tcPr>
            <w:tcW w:w="100" w:type="dxa"/>
            <w:vAlign w:val="bottom"/>
          </w:tcPr>
          <w:p>
            <w:pPr>
              <w:spacing w:after="0"/>
              <w:rPr>
                <w:sz w:val="18"/>
                <w:szCs w:val="18"/>
                <w:color w:val="auto"/>
              </w:rPr>
            </w:pPr>
          </w:p>
        </w:tc>
      </w:tr>
      <w:tr>
        <w:trPr>
          <w:trHeight w:val="250"/>
        </w:trPr>
        <w:tc>
          <w:tcPr>
            <w:tcW w:w="6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18,700,752</w:t>
            </w:r>
          </w:p>
        </w:tc>
        <w:tc>
          <w:tcPr>
            <w:tcW w:w="24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14,401,865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 and the ATM Facility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March 27, 2025, the Company filed a shelf registration statement on Form S-3 (the “Prior Registration Statement”), covering the offer and sale from time to time of up to $250.0 million in aggregate offering price of shares of its common stock, shares of its preferred stock, debt securities, warrants, rights, units and/or depositary shares. The Prior Registration Statement was declared effective by the SEC on April 15, 2025. The Prior Registration Statement included a sales agreement prospectus (the “Prior ATM Prospectus"), covering the offer and sale from time to time through or to Jefferies, LLC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ind w:right="240"/>
        <w:spacing w:after="0" w:line="236" w:lineRule="auto"/>
        <w:rPr>
          <w:sz w:val="20"/>
          <w:szCs w:val="20"/>
          <w:color w:val="auto"/>
        </w:rPr>
      </w:pPr>
      <w:r>
        <w:rPr>
          <w:rFonts w:ascii="Times New Roman" w:cs="Times New Roman" w:eastAsia="Times New Roman" w:hAnsi="Times New Roman"/>
          <w:sz w:val="18"/>
          <w:szCs w:val="18"/>
          <w:color w:val="auto"/>
        </w:rPr>
        <w:t>(“Jefferies”), as sales agent, of up to $50.0 million in aggregate offering price of shares of the Company’s common stock under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entered into with Jefferies on March 27, 2025 (the "ATM Agreement"). In November 2025, the Company sold 2,477,100 shares under the Prior ATM Prospectus for net proceeds of $16.4 million after deducting the placement agent’s fees.</w:t>
      </w:r>
    </w:p>
    <w:p>
      <w:pPr>
        <w:spacing w:after="0" w:line="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26, 2026, the Company filed a new shelf registration statement on Form S-3 (the “2026 Registration Statement”), covering the offer and sale from time to time of up to $300.0 million in aggregate offering price of shares of its common stock, shares of its preferred stock, debt securities, warrants, rights, units and/or depositary shares. The 2026 Registration Statement was declared effective by the SEC on April 2, 2026, and the Prior Registration Statement, including the Prior ATM Prospectus, ceased to be available for further utilization at that time. The terms of any offering under the 2026 Registration Statement will be established at the time of such offering and will be described in a prospectus supplement to the 2026 Registration Statement filed with the SEC prior to the completion of any such offering. The 2026 Registration Statement includes a sales agreement prospectus (the “2026 ATM Prospectus”), covering the offer and sale from time to time through or to Jefferies, as sales agent, of up to $100.0 million in aggregate offering price of shares of the Company’s common stock under the ATM Agreement (the "ATM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2025 Offering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December 17, 2025, the Company entered into an underwriting agreement (the “Underwriting Agreement”) with the several underwriters named therein (the “Underwriters”), relating to the issuance and sale of an aggregate of 13,333,333 shares of the Company’s common stock at $7.50 per share under the Prior Registration Statement. The offering closed on December 18, 2025. Pursuant to the Underwriting Agreement, the Underwriters were granted a 30-day option to purchase up to 1,999,999 additional shares (the “Option Shares”) of common stock, which was partially exercised and the underwriters purchased 704,499 shares of common stock on December 23, 2025. Total proceeds of the transaction, including the Option Shares were approximately $98.7 million, net of underwriting discounts and issuance costs. As of March 31, 2026 and December 31, 2025, $94.7 million remained available and unallocated under the Prior Registration Statement. The Prior Registration Statement was superseded by the 2026 Registration Statement once the 2026 Registration Statement was declared effective on April 2,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January 2024, the Company’s board of directors adopted, and stockholders approved, the Company’s 2024 Equity Incentive Plan (the “2024 Plan”), which became effective on February 6, 2024. The 2024 Plan superseded the Company’s 2019 Equity Incentive Plan (the “2019 Plan”). No share awards can be granted under the 2019 Plan from the effective date of the 2024 Plan. Shares subject to outstanding equity awards granted under the 2019 Plan may be added to the 2024 Plan as such shares become available from time to time if awards terminate, expire, or lapse for any reason without the delivery of shares, or are reacquired or withheld (or not issued) to satisfy a tax withholding obligation or the purchase or exercise price.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initially reserved 4,215,000 shares of common stock for future issuance under the 2024 Plan. In addition, 3,960,713 shares issued and outstanding under the 2019 Plan may be added to the 2024 Plan as such shares become available from time to time if awards terminate, expire, or lapse for any reason without the delivery of shares, or are reacquired or withheld (or not issued) to satisfy a tax withholding obligation or the purchase or exercise price. The 2024 Plan also provides that the number of shares reserved and available for issuance will automatically increase each January 1, beginning on January 1, 2025 and ending on January 1, 2034, by an amount equal to the lesser of (i) 5% of the shares of common stock outstanding on the last day of the immediately preceding fiscal year, and (ii) such smaller number of shares of common stock as determined by the Company’s board of directors. In accordance with the foregoing 2,160,745 and 3,019,494 shares of common stock were added to the shares reserved for future issuance to the 2024 Plan on January 1, 2025 and 2026, respectively. No more than 12,645,000 shares of common stock may be issued upon the exercise of incentive stock options under the 2024 Plan.</w:t>
      </w:r>
    </w:p>
    <w:p>
      <w:pPr>
        <w:spacing w:after="0" w:line="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incentive stock options, nonstatutory stock options and restricted stock units had been granted under the 2024 Plan. As of March 31, 2026, 4,145,126 shares of the Company’s common stock were reserved for issuance under the 2024 Plan.</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January 2024, the Company’s board of directors and stockholders adopted the Company’s 2024 Employee Stock Purchase Plan (the “ESPP”), which became effective on February 6, 2024. As of March 31, 2026, 1,266,000 shares of common stock were reserved for future issuance under the ESPP. The number of shares of common stock reserved for issuance under the ESPP may not exceed 844,000 shares of common stock, plus the number of shares of common stock that will be automatically increased each January 1, beginning on January 1, 2025 and ending on January 1, 2034 by an amount equal to the lesser of (i) 1.00% of the shares of common stock outstanding on December 31st of the immediately preceding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ind w:right="300"/>
        <w:spacing w:after="0" w:line="261" w:lineRule="auto"/>
        <w:rPr>
          <w:sz w:val="20"/>
          <w:szCs w:val="20"/>
          <w:color w:val="auto"/>
        </w:rPr>
      </w:pPr>
      <w:r>
        <w:rPr>
          <w:rFonts w:ascii="Times New Roman" w:cs="Times New Roman" w:eastAsia="Times New Roman" w:hAnsi="Times New Roman"/>
          <w:sz w:val="18"/>
          <w:szCs w:val="18"/>
          <w:color w:val="auto"/>
        </w:rPr>
        <w:t>calendar year and (ii) 422,000 shares of common stock. The ESPP allows an eligible employee to purchase shares of our common stock at a discount through payroll deductions of up to 15% of the employee’s eligible compensation. At the end of each purchase period, employees are able to purchase shares at 85% of the lower of the fair market value of our common stock at the beginning of the offering period or at the end of each applicable offering period.</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adopted the 2024 Inducement Equity Incentive Plan (as amended and restated in January 2026, the “Inducement Plan”). On January 29, 2026, the Company's compensation committee of the board of directors approved an increase of the maximum number of shares available for grant under the Inducement Plan by 1,000,000 shares to an aggregate of 5,000,000 shares of the Company's common stock. As of March 31, 2026, 4,104,259 shares were granted and 895,741 shares were available for future grant under the Inducement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option activity under the 2019 Plan, 2024 Plan and the Inducement Plan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3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9,330,722</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1,854,890</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Options exercised</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(90,735)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 forfeited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(428,182)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Options expired</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(6,843)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10,659,852</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38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35,123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March 31, 2026*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2,917,230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March 31,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10,659,852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-471170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-471170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-179070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-162560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-179070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-162560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-162560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Includes 6,230 shares of unvested stock options for which the holders have the right to early exercise such options as of March 31, 2026.</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fair value of the underlying common stock and the exercise price. The weighted-average grant date fair value of options granted for the three months ended March 31, 2026 and 2025 was $6.62 and $2.44, respectively. The total fair value of options that vested during the three months ended March 31, 2026 and 2025 was $2.7 million and $2.9 million, respectively. The intrinsic value of options exercised during the three months ended March 31, 2026 and 2025 was $0.5 million and less than $0.1 million, respectively, and is calculated as the difference between the exercise price and the fair value of common stock as of the exercise date. As of March 31, 2026, total unrecognized stock-based compensation expense related to issued options was $39.5 million, which is expected to be recognized over a weighted-average period of 2.8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 RSUs</w:t>
            </w:r>
          </w:p>
        </w:tc>
        <w:tc>
          <w:tcPr>
            <w:tcW w:w="140" w:type="dxa"/>
            <w:vAlign w:val="bottom"/>
            <w:shd w:val="clear" w:color="auto" w:fill="CFF0FC"/>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812,437</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(75,333)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 RSUs</w:t>
            </w:r>
          </w:p>
        </w:tc>
        <w:tc>
          <w:tcPr>
            <w:tcW w:w="140" w:type="dxa"/>
            <w:vAlign w:val="bottom"/>
            <w:shd w:val="clear" w:color="auto" w:fill="CFF0FC"/>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(209,776)</w:t>
            </w: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40" w:type="dxa"/>
            <w:vAlign w:val="bottom"/>
            <w:tcBorders>
              <w:top w:val="single" w:sz="8" w:color="CFF0FC"/>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1,709,732</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Issued restricted stock units (“RSUs”) vest over a four-year period. The estimated aggregate grant-date fair value of RSUs granted during the period was $6.9 million. As of March 31, 2026, total unrecognized compensation expense for RSUs was $9.5 million, which is expected to be recognized over weighted-average period of 3.4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performance restricted stock units (“PRSUs”) for 24,301 shares with a weighted- average grant date fair value per share of $8.12. These PRSU shares vest in two tranches upon the attainment of certain target closing prices per share of the Company’s common stock. The Company used a Monte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t>Carlo simulation model to estimate the grant date fair value of the PRSUs with the following assumptions: common stock fair value of $8.23, which was the closing market price of the Company’s common stock at the grant date, volatility of 105.00%, risk free rate of 4.19%, and vesting term of 10 years. Total estimated fair value of $0.2 million will be recognized as stock-based compensation expense over the derived requisite service period of 0.7 years and 1.5 years from the grant date for each of the two tranches, respectively.</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for PRSUs was $0.2 million and is expected to be recognized over the weighted average remaining term of 0.9 years.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8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5"/>
                <w:szCs w:val="15"/>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 PRSUs</w:t>
            </w:r>
          </w:p>
        </w:tc>
        <w:tc>
          <w:tcPr>
            <w:tcW w:w="140" w:type="dxa"/>
            <w:vAlign w:val="bottom"/>
            <w:shd w:val="clear" w:color="auto" w:fill="CFF0FC"/>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Forfeited - PRSUs</w:t>
            </w:r>
          </w:p>
        </w:tc>
        <w:tc>
          <w:tcPr>
            <w:tcW w:w="14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4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was estimated using the Black-Scholes valuation model using the following assumptions for the three months ended March 31, 2026 and 2025,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6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00" w:type="dxa"/>
            <w:vAlign w:val="bottom"/>
          </w:tcPr>
          <w:p>
            <w:pPr>
              <w:spacing w:after="0"/>
              <w:rPr>
                <w:sz w:val="12"/>
                <w:szCs w:val="12"/>
                <w:color w:val="auto"/>
              </w:rPr>
            </w:pPr>
          </w:p>
        </w:tc>
        <w:tc>
          <w:tcPr>
            <w:tcW w:w="1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89.9%-94.9%</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- 97.1%</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1820" w:type="dxa"/>
            <w:vAlign w:val="bottom"/>
            <w:gridSpan w:val="3"/>
          </w:tcPr>
          <w:p>
            <w:pPr>
              <w:jc w:val="right"/>
              <w:ind w:right="630"/>
              <w:spacing w:after="0"/>
              <w:rPr>
                <w:sz w:val="20"/>
                <w:szCs w:val="20"/>
                <w:color w:val="auto"/>
              </w:rPr>
            </w:pPr>
            <w:r>
              <w:rPr>
                <w:rFonts w:ascii="Times New Roman" w:cs="Times New Roman" w:eastAsia="Times New Roman" w:hAnsi="Times New Roman"/>
                <w:sz w:val="16"/>
                <w:szCs w:val="16"/>
                <w:color w:val="auto"/>
              </w:rPr>
              <w:t>0%</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5.8 - 6.1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- 4.5%</w:t>
            </w:r>
          </w:p>
        </w:tc>
      </w:tr>
    </w:tbl>
    <w:p>
      <w:pPr>
        <w:spacing w:after="0" w:line="39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expense related to stock options and RSUs, including PRSUs, granted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114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8"/>
                <w:szCs w:val="18"/>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shd w:val="clear" w:color="auto" w:fill="CFF0FC"/>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FF0FC"/>
          </w:tcPr>
          <w:p>
            <w:pPr>
              <w:spacing w:after="0"/>
              <w:rPr>
                <w:sz w:val="19"/>
                <w:szCs w:val="19"/>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above stock-based compensation expense was related to the following stock-based awards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RSUs</w:t>
            </w:r>
          </w:p>
        </w:tc>
        <w:tc>
          <w:tcPr>
            <w:tcW w:w="3280" w:type="dxa"/>
            <w:vAlign w:val="bottom"/>
          </w:tcPr>
          <w:p>
            <w:pPr>
              <w:spacing w:after="0"/>
              <w:rPr>
                <w:sz w:val="12"/>
                <w:szCs w:val="12"/>
                <w:color w:val="auto"/>
              </w:rPr>
            </w:pPr>
          </w:p>
        </w:tc>
        <w:tc>
          <w:tcPr>
            <w:tcW w:w="1140" w:type="dxa"/>
            <w:vAlign w:val="bottom"/>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130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Borders>
              <w:top w:val="single" w:sz="8" w:color="auto"/>
            </w:tcBorders>
          </w:tcPr>
          <w:p>
            <w:pPr>
              <w:jc w:val="right"/>
              <w:ind w:right="98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tcPr>
          <w:p>
            <w:pPr>
              <w:spacing w:after="0"/>
              <w:rPr>
                <w:sz w:val="18"/>
                <w:szCs w:val="18"/>
                <w:color w:val="auto"/>
              </w:rPr>
            </w:pPr>
          </w:p>
        </w:tc>
        <w:tc>
          <w:tcPr>
            <w:tcW w:w="1020" w:type="dxa"/>
            <w:vAlign w:val="bottom"/>
            <w:tcBorders>
              <w:top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2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20" w:type="dxa"/>
            <w:vAlign w:val="bottom"/>
            <w:gridSpan w:val="2"/>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300" w:type="dxa"/>
            <w:vAlign w:val="bottom"/>
            <w:gridSpan w:val="2"/>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21" w:lineRule="exact"/>
        <w:rPr>
          <w:sz w:val="20"/>
          <w:szCs w:val="20"/>
          <w:color w:val="auto"/>
        </w:rPr>
      </w:pPr>
    </w:p>
    <w:p>
      <w:pPr>
        <w:ind w:right="38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share and per share data):</w:t>
      </w:r>
    </w:p>
    <w:tbl>
      <w:tblPr>
        <w:tblLayout w:type="fixed"/>
        <w:tblInd w:w="0" w:type="dxa"/>
        <w:tblCellMar>
          <w:top w:w="0" w:type="dxa"/>
          <w:left w:w="0" w:type="dxa"/>
          <w:bottom w:w="0" w:type="dxa"/>
          <w:right w:w="0" w:type="dxa"/>
        </w:tblCellMar>
      </w:tblPr>
      <w:tr>
        <w:trPr>
          <w:trHeight w:val="156"/>
        </w:trPr>
        <w:tc>
          <w:tcPr>
            <w:tcW w:w="6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6"/>
          </w:tcPr>
          <w:p>
            <w:pPr>
              <w:jc w:val="right"/>
              <w:ind w:right="82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(39,728)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(44,635)</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in computing basic and diluted net loss per share</w:t>
            </w:r>
          </w:p>
        </w:tc>
        <w:tc>
          <w:tcPr>
            <w:tcW w:w="9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60,434,200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43,215,577</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(0.66)</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0" w:firstLine="509"/>
        <w:spacing w:after="0" w:line="278"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3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80" w:type="dxa"/>
            <w:vAlign w:val="bottom"/>
          </w:tcPr>
          <w:p>
            <w:pPr>
              <w:spacing w:after="0"/>
              <w:rPr>
                <w:sz w:val="17"/>
                <w:szCs w:val="17"/>
                <w:color w:val="auto"/>
              </w:rPr>
            </w:pP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10,659,852</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7,979,810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and PRSUs outstanding</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1,734,033</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635,167</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12,393,885</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8,614,977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had zero and $0.1 million in other accrued expenses and current liabilities on the condensed balance sheet as of March 31, 2026 and December 31, 2025, respectively, related to severance payments for the Company’s former 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therapies for autoimmune and inflammatory diseases. The chief executive officer, who is the chief operating decision maker (“CODM”), reviews financial information on an aggregate basis for purposes of allocating resources, assessing performance and monitoring budget versus actuals. The CODM assesses performance based on net loss as reported on the statement of operations and comprehensive loss. The measure of segment assets is reported on the balance sheet as total assets. Further, segment depreciation expense and segment asset additions are consistent with amounts reported within the statement of cash flows given the Company's operations are aggregated within a single reportable segment. All of the Company’s long-lived assets are located in the United States. Asset and other balance sheet information is not reported to the CODM.</w:t>
      </w:r>
    </w:p>
    <w:p>
      <w:pPr>
        <w:spacing w:after="0" w:line="81"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Company’s summary of segment loss, including significant segment expenses for the three months ended March 31,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1"/>
        </w:trPr>
        <w:tc>
          <w:tcPr>
            <w:tcW w:w="70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Miv-cel</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36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programs</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(a)</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4"/>
                <w:szCs w:val="24"/>
                <w:color w:val="auto"/>
                <w:vertAlign w:val="superscript"/>
              </w:rPr>
              <w:t>(b)</w:t>
            </w: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(2,327)</w:t>
            </w:r>
          </w:p>
        </w:tc>
        <w:tc>
          <w:tcPr>
            <w:tcW w:w="5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(2,825)</w:t>
            </w:r>
          </w:p>
        </w:tc>
      </w:tr>
      <w:tr>
        <w:trPr>
          <w:trHeight w:val="216"/>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expense, net</w:t>
            </w:r>
          </w:p>
        </w:tc>
        <w:tc>
          <w:tcPr>
            <w:tcW w:w="6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Segment loss and net loss</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36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44,635</w:t>
            </w:r>
          </w:p>
        </w:tc>
        <w:tc>
          <w:tcPr>
            <w:tcW w:w="10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120" w:hanging="112"/>
        <w:spacing w:after="0"/>
        <w:tabs>
          <w:tab w:leader="none" w:pos="120" w:val="left"/>
        </w:tabs>
        <w:numPr>
          <w:ilvl w:val="0"/>
          <w:numId w:val="3"/>
        </w:numPr>
        <w:rPr>
          <w:rFonts w:ascii="Arial" w:cs="Arial" w:eastAsia="Arial" w:hAnsi="Arial"/>
          <w:sz w:val="13"/>
          <w:szCs w:val="13"/>
          <w:color w:val="auto"/>
          <w:vertAlign w:val="superscript"/>
        </w:rPr>
      </w:pPr>
      <w:r>
        <w:rPr>
          <w:rFonts w:ascii="Times New Roman" w:cs="Times New Roman" w:eastAsia="Times New Roman" w:hAnsi="Times New Roman"/>
          <w:sz w:val="12"/>
          <w:szCs w:val="12"/>
          <w:color w:val="auto"/>
        </w:rPr>
        <w:t>Primarily includes personnel costs, license fees, R&amp;D consulting services, unallocated CRO and CMO costs and allocated overhead and facilities expenses</w:t>
      </w:r>
    </w:p>
    <w:p>
      <w:pPr>
        <w:spacing w:after="0" w:line="57"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3"/>
        </w:numPr>
        <w:rPr>
          <w:rFonts w:ascii="Arial" w:cs="Arial" w:eastAsia="Arial" w:hAnsi="Arial"/>
          <w:sz w:val="13"/>
          <w:szCs w:val="13"/>
          <w:color w:val="auto"/>
          <w:vertAlign w:val="superscript"/>
        </w:rPr>
      </w:pPr>
      <w:r>
        <w:rPr>
          <w:rFonts w:ascii="Times New Roman" w:cs="Times New Roman" w:eastAsia="Times New Roman" w:hAnsi="Times New Roman"/>
          <w:sz w:val="12"/>
          <w:szCs w:val="12"/>
          <w:color w:val="auto"/>
        </w:rPr>
        <w:t>Primarily includes personnel costs, allocated overhead and facilities expenses, legal, IT, accounting and general and administrative expenses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condensed financial statements and related notes included elsewhere in this Quarterly Report on Form 10-Q as well as our audited financial statements and related notes thereto as of and for the year ended December 31, 2025 and the related Management’s Discussion and Analysis of Financial Condition and Results of Operations, both of which are contained in Part II of the Annual Report on Form 10-K for the fiscal year ended December 31, 2025 filed with the Securities and Exchange Commission, or the SEC, on March 26, 2026.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“Risk Factors” in Part II, Item 1A of this Quarterly Report on Form 10-Q. See also the section below titled “Special Note Regarding Forward-Looking Statements.”</w:t>
      </w:r>
    </w:p>
    <w:p>
      <w:pPr>
        <w:spacing w:after="0" w:line="293"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Quarterly Report on Form 10-Q, unless the context otherwise requires, the terms “Kyverna,” “we,” “us” and “our” in this Quarterly Report on Form 10-Q refer to Kyverna Therapeutics, Inc.</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33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Quarterly Report on Form 10-Q, including statements regarding our future results of operations and financial position, business strategy, product candidates, planned preclinical studies and clinical trials, results of preclinical studies and clinical trials, research and development plans and costs, plans for manufacturing,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but the absence of these words does not mean that a statement is not forward-looking. Forward-looking statements contained in this Quarterly Report on Form 10-Q include, for example, but are not limited to, statements about:</w:t>
      </w:r>
    </w:p>
    <w:p>
      <w:pPr>
        <w:spacing w:after="0" w:line="302" w:lineRule="exact"/>
        <w:rPr>
          <w:sz w:val="20"/>
          <w:szCs w:val="20"/>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clinical trials, and research and development programs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and the timing of, preclinical proof-of-concept in vivo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our initial product candidates and to progress additional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diseases and conditions we intend to treat and the size of the market opportunity for our product candidates;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diseases and conditions we intend to treat and the number of patients that we will enroll in our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which we may pursue;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therapeutic benefits of our product candidates, if approved, and any other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product candidates, research programs and technologies;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ability to leverage the clinical, regulatory and manufacturing advancements to accelerate our clinical trials and regulatory approval of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manufacturing or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prosecute, grow and defend our intellectual property portfolio against infringement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and cost-effectively conduct our current and future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sales strategy, manufacturing and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sales personnel, or to contract with a sales organization, if our product candidates are approved;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and legal developments in the United States and foreign countries in which we may seek regulatory approval for our product candidates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or anticipated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 or a smaller reporting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capital requirements and needs for additional financing;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unfavorable macroeconomic conditions or market volatility resulting from global economic conditions or geopolitical developments, including international tariffs, trade protection measures, economic sanctions, supply chain issues, inflationary pressures, economic slowdowns or recessions, acts of war and civil or political unrest.</w:t>
      </w:r>
    </w:p>
    <w:p>
      <w:pPr>
        <w:spacing w:after="0" w:line="284"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We caution you that the forward-looking statements highlighted above do not encompass all of the forward-looking statements made in this Quarterly Report on Form 10-Q.</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Part II, Item 1A of this Quarterly Report on Form 10-Q titled “Risk Factors” and elsewhere in this Quarterly Report on Form 10-Q, and involve a number of assumptions and limitations. Moreover, we operate in a very competitive and challenging environment. New risks and uncertainties emerge from time to</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2" w:name="page23"/>
    <w:bookmarkEnd w:id="22"/>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cell therapies for patients with autoimmune diseases. Our mission is to liberate patients from autoimmune diseases through the curative potential of cell therapy. Our development strategy is supported by our breadth of experience in treating more than 100 autoimmune patients with our lead product candidate, mivocabtagene autoleucel, or miv-cel, also known as KYV-101, an anti-CD19 autologous CAR T with a differentiated CAR construct. This has been documented through the scientific publication of multiple autoimmune case studies, our proprietary dataset of patients treated through named patient forms of compassionate use, our experience in ongoing investigator-initiated trials, or IITs, at leading academic institutions, as well as early clinical data from our ongoing company-sponsored trials illustrating the potential of these therapies to deeply deplete B cells with the aim of achieving durable treatment-free remission. This validation provides us with a clear path to continue advancing miv-cel through late-stage clinical development and commercialization across multiple autoimmune indications.</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Miv-cel, our lead program, is an autologous, fully human CD19-targeting CAR T-cell product candidate that is designed for potency and tolerability in autoimmune diseases. Miv-cel is made from an underlying chimeric antigen receptor, or CAR, licensed from the National Institutes of Health, or the NIH. In addition to a fully human scFv domain, the CAR in miv-cel was also designed with a human CD8α hinge and transmembrane domain, a highly potent human CD28 costimulatory domain, and a human CD3ζ activation domain. This same underlying CAR in miv-cel has completed a 20-patient Phase 1 clinical trial in oncology conducted by the NIH, and the results from this Phase 1 clinical trial published in Nature Medicine reported similar rates of durable antitumor responses while delivering improved tolerability in the clinic among adult oncology patients, as compared to the CAR used to create Yescarta®. We believe the unique miv-cel CAR construct has the potential to deliver a differentiated therapeutic profile in autoimmune disease over current standard-of-care therapies by addressing the underlying immune dysfunction – deeply depleting B cells with the goal of achieving an immune reset and durable, treatment-free remission.</w:t>
      </w:r>
    </w:p>
    <w:p>
      <w:pPr>
        <w:spacing w:after="0" w:line="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are currently focused on advancing our neuroimmunology CAR T franchise, which includes evaluating miv-cel in stiff person syndrome, or SPS, and generalized myasthenia gravis, or gMG, both serious and highly debilitating autoimmune diseases with significant unmet medical need.</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SPS is a rare and progressive neurologic autoimmune disease with no FDA-approved therapies. Patients with SPS have substantial disease burden, with symptoms characterized by muscle stiffness and painful muscle spasms, impacting mobility. 80% of patients lose mobility over time, and need walking aid assistance or a wheelchair. In addition, patients face risk of permanent disability and increased mortality. In SPS, we have completed a registrational 26-patient Phase 2 clinical trial (KYSA-8). We presented the positive primary analysis results from the KYSA-8 trial at the 2026 American Academy of Neurology, or AAN, Annual Meeting in April 2026. In the trial, miv-cel demonstrated statistically significant, durable clinical benefit across all primary and secondary endpoints at 16 weeks, with reversal of disability scores following a single dose of miv-cel. 100% of patients remained free of immunotherapies for SPS as of week 16. Further, miv-cel demonstrated a well-tolerated safety profile. We also presented outcomes from a large, multicenter, retrospective natural history study examining the impact of SPS on walking speed at AAN. We had a positive pre-BLA meeting with the FDA and gained alignment on our regulatory path for miv-cel in SPS, including a rolling BLA submission and all core components of the BLA package. In May 2026, we initiated the rolling BLA submission, seeking priority review under the program's Regenerative Medicine Advanced therapy (RMAT) designation, and anticipate completing the submission in the fourth quarter of 2026.</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Myasthenia gravis, or MG, is a B-cell and antibody-mediated neuromuscular autoimmune disease that causes fluctuating muscle weakness and fatigue. The disease includes gMG, which impacts muscles beyond the eyes and may involve bulbar, limb, and respiratory muscles. Most patients develop gMG within two years after MG diagnosis. Symptoms are highly disruptive to quality of life and can include muscle weakness and fatigue, difficulty chewing and swallowing,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60"/>
        <w:spacing w:after="0" w:line="266" w:lineRule="auto"/>
        <w:rPr>
          <w:sz w:val="20"/>
          <w:szCs w:val="20"/>
          <w:color w:val="auto"/>
        </w:rPr>
      </w:pPr>
      <w:r>
        <w:rPr>
          <w:rFonts w:ascii="Times New Roman" w:cs="Times New Roman" w:eastAsia="Times New Roman" w:hAnsi="Times New Roman"/>
          <w:sz w:val="18"/>
          <w:szCs w:val="18"/>
          <w:color w:val="auto"/>
        </w:rPr>
        <w:t>trouble with speech, and in severe cases, respiratory failure, which can be life-threatening. Despite available treatment options, including immunosuppressants and biologics, patients still struggle with symptom control and require chronic and costly treatment options in addition to background therapies.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October 2025, we reported positive interim data from our registrational KYSA-6 (KYSA-6) Phase 2 clinical trial of miv-cel in gMG. In April 2026, we presented the positive longer-term follow-up data from the Phase 2 portion of the KYSA-6 trial at the 2026 AAN Annual Meeting. The updated data demonstrated durable clinical responses across all key clinical outcome measures with sustained benefit observed out to one year following a single dose of miv-cel. 100% of patients achieved clinically meaningful, rapid and robust reductions in M</w:t>
      </w:r>
      <w:r>
        <w:rPr>
          <w:rFonts w:ascii="Times New Roman" w:cs="Times New Roman" w:eastAsia="Times New Roman" w:hAnsi="Times New Roman"/>
          <w:sz w:val="18"/>
          <w:szCs w:val="18"/>
          <w:color w:val="231F20"/>
        </w:rPr>
        <w:t>yasthenia Gravis Activities of Daily Living, or</w:t>
      </w:r>
      <w:r>
        <w:rPr>
          <w:rFonts w:ascii="Times New Roman" w:cs="Times New Roman" w:eastAsia="Times New Roman" w:hAnsi="Times New Roman"/>
          <w:sz w:val="18"/>
          <w:szCs w:val="18"/>
          <w:color w:val="auto"/>
        </w:rPr>
        <w:t xml:space="preserve"> MG-ADL, and </w:t>
      </w:r>
      <w:r>
        <w:rPr>
          <w:rFonts w:ascii="Times New Roman" w:cs="Times New Roman" w:eastAsia="Times New Roman" w:hAnsi="Times New Roman"/>
          <w:sz w:val="18"/>
          <w:szCs w:val="18"/>
          <w:color w:val="231F20"/>
        </w:rPr>
        <w:t>Quantitative Myasthenia Gravis, or</w:t>
      </w:r>
      <w:r>
        <w:rPr>
          <w:rFonts w:ascii="Times New Roman" w:cs="Times New Roman" w:eastAsia="Times New Roman" w:hAnsi="Times New Roman"/>
          <w:sz w:val="18"/>
          <w:szCs w:val="18"/>
          <w:color w:val="auto"/>
        </w:rPr>
        <w:t xml:space="preserve"> QMG, scores from baseline (the co-primary endpoints of the Phase 3 portion of the trial), regardless of prior biologic exposure and at deeper levels observed compared to prior interim analysis. In addition, biomarker and mechanistic data further supported miv-cel’s differentiated clinical profile and miv-cel was well-tolerated. We began enrolling patients for our FDA-aligned, Phase 3 registrational trial in December 2025 and continue to enroll patients across 15 activated sites globally.</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previously received Regenerative Medicine Advanced Therapy, or RMAT, designations and Orphan Drug Designations, or ODD, from the FDA for both SPS and MG as well as Orphan Drug Designation from the European Medicines Association in MG. Through these designations, we continue to engage in consistent dialogue with the FDA across both programs.</w:t>
      </w:r>
    </w:p>
    <w:p>
      <w:pPr>
        <w:spacing w:after="0" w:line="68" w:lineRule="exact"/>
        <w:rPr>
          <w:sz w:val="20"/>
          <w:szCs w:val="20"/>
          <w:color w:val="auto"/>
        </w:rPr>
      </w:pPr>
    </w:p>
    <w:p>
      <w:pPr>
        <w:ind w:right="740" w:firstLine="509"/>
        <w:spacing w:after="0" w:line="266" w:lineRule="auto"/>
        <w:rPr>
          <w:sz w:val="20"/>
          <w:szCs w:val="20"/>
          <w:color w:val="auto"/>
        </w:rPr>
      </w:pPr>
      <w:r>
        <w:rPr>
          <w:rFonts w:ascii="Times New Roman" w:cs="Times New Roman" w:eastAsia="Times New Roman" w:hAnsi="Times New Roman"/>
          <w:sz w:val="18"/>
          <w:szCs w:val="18"/>
          <w:color w:val="auto"/>
        </w:rPr>
        <w:t>We are also strengthening our chemistry, manufacturing, and controls, or CMC, capabilities to support late-stage clinical development and anticipated commercialization. We have FDA-alignment on our CMC strategy and believe our manufacturing partnerships and ongoing process innovations position us to support both near-term commercial launch and longer-term pipeline growth.</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Beyond SPS and gMG, our pipeline opportunities include expanding into other autoimmune indications as well as novel innovations to expand patient access.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harnessing IITs and other Kyverna-sponsored clinical trials, or KYSA trials, including in progressive multiple sclerosis, or progressive MS, rheumatoid arthritis, or RA, lupus nephritis, or LN, and systemic sclerosis, or SSc, to inform our next priority indications to advance into late-stage development. In 2025, we shared encouraging data from a Phase 1 IIT in MS and a Phase 1/2 IIT in RA. In February 2026, the positive updated data of miv-cel in progressive multiple sclerosis from a Phase 1 IIT was presented at the Americas Committee for Treatment and Research in Multiple Sclerosis (ACTRIMS) forum.</w:t>
      </w:r>
    </w:p>
    <w:p>
      <w:pPr>
        <w:spacing w:after="0" w:line="7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part of our longer-term efforts to broaden patient access, we are exploring alternative lymphodepletion, or LD, and no LD regimens for miv-cel in addition to the potential for outpatient administration given miv-cel’s favorable safety profile. Additionally, our pipeline includes next-generation CAR T-cell technologies in order to efficiently expand into broader autoimmune indications and increase patient reach.</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January 2026, the Investigational New Drug, or IND, application for KYV-102, our proprietary whole blood, rapid manufacturing process, was accepted by the U.S. FDA.</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June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developing and establishing our intellectual property portfolio, raising capital and providing general and administrative support for these activities. We do not have any products approved for sale and have not generated any revenue from product sales.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We have funded our operations primarily from sales of our redeemable convertible preferred stock, issuances of convertible notes, revenue from our collaboration agreement with Gilead Sciences, Inc., or Gilead, which terminated effective as of January 22, 2024; from the sale of shares of our common stock in our initial public offering in February 2024, or the IPO, through our ATM Facility (as defined below) and other underwritten public offerings; and cash received from our Loan Facility (as defined below) entered in October 2025. Our net loss was $39.7 million for the three months ended March 31, 2026, compared with $44.6 million net loss for the three months ended March 31, 2025. As of March 31, 2026, we had an accumulated deficit of $464.6 million. Management has determined that our cash and cash equivalents and available-for-sale marketable securities of $236.4 million as of March 31, 2026 will be sufficient to fund our planned operations for at least one year from the date of this Quarterly Report on Form 10-Q. We plan to monitor expenses and raise additional capital through equity or debt financings, strategic alliances and licensing arrangements. Our ability to access capital when needed is not assured and if capital is not available to us when, and in the amounts, needed, we could be required to delay, scale back or abandon some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all of our development programs and other operations, which could materially harm our business, financial condition and results of operations.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will increase substantially in connection with our ongoing and planned activities, as we:</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product candidates, including miv-cel in multiple clinical trials in parallel;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additional indications for our existing product candidates;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manufacturing of clinical supply and manufacturing operations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discover, validate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marketing approval and related commercial manufacturing build-out;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portfolio of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rely on contract manufacturing organizations, or CMOs, to produce our product candidates in accordance with the FDA’s current Good Manufacturing Practices regulations for use in our clinical studies. Under the July 2023 development and manufacturing services agreement, or the Elevate Agreement, with ElevateBio BaseCamp, Inc., or Elevate, Elevate provides us with cell manufacturing, release and testing services for our miv-cel product candidate.</w:t>
      </w:r>
    </w:p>
    <w:p>
      <w:pPr>
        <w:spacing w:after="0" w:line="18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Under the master services agreement with Minaris Advanced Therapies, Inc., or MAT, MAT’s facility in Philadelphia, Pennsylvania, provides us with certain customized cell manufacturing, release and testing services for our miv-cel product candidate. Pursuant to our license and supply agreement with Oxford Biomedica (UK) Limited, or Oxford, Oxford provides us with lentiviral vector process development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i w:val="1"/>
          <w:iCs w:val="1"/>
          <w:color w:val="auto"/>
        </w:rPr>
        <w:t>Our pipeline and programs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of product candidates for the treatment of autoimmune diseases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5263515" cy="2083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63515"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4"/>
          <w:szCs w:val="14"/>
          <w:color w:val="auto"/>
        </w:rPr>
        <w:t>Fast Track Designation, or FTD, does not ensure that we will experience a faster development process, regulatory review or regulatory approval process compared to conventional FDA procedures. *Phase 3 may not be required if Phase 2 is registrational.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†EU &amp; US. ‡ Kyverna is also exploring miv-cel in progressive MS through IITs.</w:t>
      </w:r>
    </w:p>
    <w:p>
      <w:pPr>
        <w:spacing w:after="0" w:line="19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if at all.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license and collaboration agreements is included in Note 6, “License and Collaboration Agreements,” to the condensed financial statements included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Trends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be affected by worldwide economic conditions and challenges, such as the effects of the ongoing geopolitical conflicts in Ukraine, war in Iran and other conflicts and instability in the Middle East, instability in Venezuela, tensions between not only the U.S. and China, but also between the U.S. and other countries in the international community, disruptions in the banking industry and inflationary trends, and the imposition, or threatened imposition, of tariffs and potential retaliatory trade restrictions. The past several years have been marked by significant market uncertainty and increasing inflationary pressures. These market dynamics continue and similar adverse market conditions may negatively impact our business, financial position and results of operations. For further discussion of the potential impacts of macroeconomic events on us, refer to the section titled “Risk Factors” in Part II, Item 1A of this Quarterly Report on Form 10-Q.</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largest component of our total operating expenses since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clinical research organizations, or CROs, and investigative sites that conduct preclinical and clinical studies;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third-party CROs, CMOs and other third parties that conduct preclinical and clinical activities on our behalf and manufacture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associated with our research and development activities;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acquiring technology and intellectual property licenses that have no alternative future uses, milestone payments and annual license maintenance fees under our licensing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our research and development programs, including laboratory materials and supplies;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costs, including salaries, benefits, travel and meals expenses, and stock-based compensation expense for our research and development personnel;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costs, including software and other miscellaneous expenses incurred in connection with our research and development programs.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320" w:firstLine="509"/>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personnel-related expenses, including: salaries, employee benefit costs and stock-based compensation expense; professional fees for legal, consulting, accounting and tax services; allocated overheads, including rent, equipment, information technology costs and utilities; and other general operating expenses not otherwise classified as research and development expenses.</w:t>
      </w:r>
    </w:p>
    <w:p>
      <w:pPr>
        <w:spacing w:after="0" w:line="5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have increased, and are expected to continue to increase primarily due to increased personnel costs, including salaries, benefits and stock-based compensation expense, expanded infrastructure and increased consulting and professional services associated with maintaining compliance with stock exchange listing and requirements of the SEC, investor relations costs and director and officer insurance premiums.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and accretion of premiums and discounts on our investments in available-for-sale marketable securities and cash equivalents.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expense related to our Loan Facility and laboratory equipment finance leases. The Loan Facility interest expense was $0.6 million for the three months ended March 31, 2026 and we expect that it will increase in the future as we will incur interest on the outstanding borrowings under the Loan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primarily consists of settlement and revaluation of transactions and accounts payable in foreign currency.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4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(7,360)</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(6,041)</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(41,367)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(47,408)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2,568%</w:t>
            </w:r>
          </w:p>
        </w:tc>
      </w:tr>
      <w:tr>
        <w:trPr>
          <w:trHeight w:val="216"/>
        </w:trPr>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(1,134)</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(39,728)</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(44,635)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-1019810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-1019810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-1019810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-1019810</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-170815</wp:posOffset>
            </wp:positionV>
            <wp:extent cx="1460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except percentages)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Miv-cel</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7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5"/>
              </w:rPr>
              <w:t>(6,889)</w:t>
            </w: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programs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personnel-related expenses</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R&amp;D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(1,319)</w:t>
            </w:r>
          </w:p>
        </w:tc>
        <w:tc>
          <w:tcPr>
            <w:tcW w:w="3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37,433</w:t>
            </w:r>
          </w:p>
        </w:tc>
        <w:tc>
          <w:tcPr>
            <w:tcW w:w="7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5"/>
              </w:rPr>
              <w:t>(7,360)</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-24765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-24765</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1460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$7.4 million, or 20%, from $37.4 million for the three months ended March 31, 2025 to $30.1 million for the three months ended March 31, 2026.</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External research and development expenses related to our miv-cel program decreased by $6.9 million, or 31%, for the three months ended March 31, 2026 compared to 2025 mainly driven by a decrease in costs incurred for CMO activities of $8.3 million. We incurred higher CMO costs during the three months ended March 31, 2025 to support significant BLA readiness efforts. CRO costs decreased slightly in the three months ended March 31, 2026, compared to the three months ended March 31, 2025, mainly due to lower costs incurred for our KYSA-8 trial. The decrease in miv-cel CMO and CRO costs was partially offset by a $0.8 million increase in professional services and a benchmark royalty expense of $1.0 million, which became payable to the National Institutes of Health in accordance with a patent license agreement, during the three months ended March 31, 2026.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28" w:name="page29"/>
    <w:bookmarkEnd w:id="28"/>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Other program expenses include research and development expenses for our KYV-201 and KYV-102 programs. Other program costs decreased year-over-year by $0.4 million, or 63%, in 2026 mainly due to a $0.2 million decrease in CMO costs.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Personnel-related expenses increased by $1.2 million, or 14%, from $8.5 million for the three months ended March 31, 2025 to $9.7 million for the three months ended March 31, 2026 primarily due to growth in the number of employees in our research and development organization.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Other research and development expenses primarily consist of unallocated research and development costs, professional services, facilities, depreciation and overhead costs. The decrease of $1.3 million, or 21%, for the three months ended March 31, 2026, compared to the same period a year ago, is mainly due to a one-time $0.6 million impairment charge related to a capitalized software recorded during the three months ended March 31, 2025 and lower allocated overhead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$1.3 million, or 13%, for the three months ended March 31, 2026, compared to the same period a year ago. The increase primarily relates to a $0.7 million increase in personnel-related expenses and a $0.5 million increase in professional services. Stock-based compensation expense, included in personnel-related costs, increased from $1.4 million for the three months ended March 31, 2025, to $2.3 million for the three months ended March 31,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by $0.5 million for the three months ended March 31, 2026, compared to the three months ended March 31, 2025, primarily due to lower effective interest yield during the three months ended March 31, 2026 as compared to the same period a year ago.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Through March 31, 2026, we have primarily funded our operations from sales of shares of our redeemable convertible preferred stock, issuances of convertible notes, an upfront payment under the Gilead Agreement, net proceeds from the IPO, net proceeds from the ATM Facility, net proceeds from the underwritten public offering of our common stock as well as the borrowing under our Loan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 and the ATM Facility</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On March 27, 2025, we filed a shelf registration statement on Form S-3, or the Prior Registration Statement, covering the offer and sale from time to time of up to $250.0 million in aggregate offering price of shares of our common stock, shares of our preferred stock, debt securities, warrants, rights, units and/or depositary shares. The Prior Registration Statement was declared effective by the SEC on April 15, 2025. The Prior Registration Statement included a sales agreement prospectus, or the Prior ATM Prospectus, covering the offer and sale from time to time through or to Jefferies, LLC or Jefferies, as sales agent, of up to $50.0 million in aggregate offering price of shares of our common stock under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entered into with Jefferies on March 27, 2025, or the ATM Agreement. In November 2025, we sold 2,477,100 shares under the Prior ATM Prospectus for net proceeds of $16.4 million after deducting the placement agent’s fees. As of March 31, 2026, and December 31, 2025, $32.5 million of shares of common stock remained available for sale under the Prior ATM Prospectus.</w:t>
      </w:r>
    </w:p>
    <w:p>
      <w:pPr>
        <w:spacing w:after="0" w:line="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March 26, 2026, we filed a new shelf registration statement on Form S-3, or the 2026 Registration Statement, covering the offer and sale from time to time of up to $300.0 million in aggregate offering price of shares of our common stock, shares of our preferred stock, debt securities, warrants, rights, units and/or depositary shares. The 2026 Registration Statement was declared effective by the SEC on April 2, 2026, and the Prior Registration Statement, including the Prior ATM Prospectus, ceased to be available for further utilization at that time. The terms of any offering under the 2026 Registration Statement will be established at the time of such offering and will be described in a prospectus supplement to the 2026 Registration Statement filed with the SEC prior to the completion of any such offering. The 2026 Registration Statement included a sales agreement prospectus, or the 2026 ATM Prospectus, covering the offer and sale from time to time through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 Jefferies, as sales agent, of up to $100.0 million in aggregate offering price of shares of our common stock under the ATM Agreement. As of May 1, 2026, $100.0 million remains allocated and available under the ATM Prospectus and $200.0 million remains available and unallocated under the 2026 Shelf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October 31, 2025, we entered into a Loan and Security Agreement, or the Loan and Security Agreement, with Oxford Finance LLC, or Oxford Finance, as collateral agent, and certain lenders from time to time party thereto. The Loan and Security Agreement provides a non-dilutive term loan facility, or the Loan Facility, up to an aggregate principal amount of up to $150.0 million senior secured credit facilities, subject to certain conditions. The Loan Facility includes an initial tranche of the term loan of $40.0 million and two additional tranches totaling $60.0 million, subject to the satisfaction of certain terms and conditions of the Loan and Security Agreement. A fourth tranche of the term loan of $50.0 million may also be made available subject to Oxford Finance’s discretion. On November 3, 2025, we drew $25.0 million from funds available from the first term loan. The Loan Facility matures on October 1, 2030, and bears interest at a floating per annum rate equal to (a) the greater of (i) the 1-Month CME Term Secured Overnight Financing Rate, or SOFR, administered by CME Group Benchmark Administrator Limited and (ii) 3.75% plus (b) 5.00%. We are required to make monthly payments of interest only until November 1, 2028 or, at our option subject to the achievement of certain milestones, until November 1, 2029, after which monthly payments of principal and interest will be due. The Loan and Security Agreement includes events of default, which, if triggered, could result in, among other things, the acceleration of our repayment obligations. Additionally, pursuant to the Loan and Security Agreement, we granted Oxford Finance a security interest in substantially all of our assets, including our intellectual property.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2025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2025, we entered into an underwriting agreement, or the Underwriting Agreement, with several underwriters named therein, or the Underwriters, relating to the issuance and sale of our common stock in an underwritten public offering pursuant to the Prior Registration Statement. On December 18, 2025, we closed the offering and issued an aggregate of 13,333,333 shares of our common stock for net proceeds of $93.7 million. Additionally, under the terms of the Underwriting Agreement, the Underwriters had an option to purchase up to an additional 1,999,999 shares of common stock, which the Underwriters exercised on December 24, 2025 and purchased 704,499 shares of our common stock for net proceeds of $5.0 million to us.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had $236.4 million in cash, cash equivalents and available-for-sale marketable securities.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As of March 31, 2026, we had an accumulated deficit of $464.6 million. Based on the current cash forecast, management has determined that our cash, cash equivalents and available-for-sale marketable securities of $236.4 million as of March 31, 2026 will be sufficient to fund our planned operations for at least one year from the filing date of this Quarterly Report on Form 10-Q. The forecast of cash resources and planned operations involves risks and uncertainties, and the actual amount of expenses could vary materially as a result of a number of factors.</w:t>
      </w:r>
    </w:p>
    <w:p>
      <w:pPr>
        <w:spacing w:after="0" w:line="183"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and results of our preclinical studies and clinical trials for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duration of clinical trials required for regulatory approval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for our product candidates, including any requirement to conduct more studies or generate additional data beyond that which we currently expect would be required to support a Biologic License Application;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as well as scale-up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number of our employees and expansion of our physical facilities to support growth initiatives;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expenses we incur to defend against any claims, including the cost of filing and prosecuting our patent applications, and maintaining and enforcing our patents and other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informational systems and efforts to enhance operational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as well as other factors, including economic uncertainty and geopolitical tensions, which may exacerbate the magnitude of the factors discussed above.</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Furthermore, our operating plans may change, and we may need additional funds to meet operational needs and capital requirements for clinical trials and other research and development expenditures.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2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(41,597)</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(50,201)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(91,899)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was $41.6 million and $44.9 million for the three months ended March 31, 2026 and 2025, respectively.</w:t>
      </w:r>
    </w:p>
    <w:p>
      <w:pPr>
        <w:spacing w:after="0" w:line="22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2026, was primarily due to our net loss of $39.7 million, decreased by non-cash charges of $3.5 million and increased by a net change in our net operating assets and liabilities of $5.4 million. The non-cash charges primarily consisted of a $3.2 million stock-based compensation expense, $0.6 million non-cash lease expense, $0.4 million depreciation and amortization expense and a $0.1 million non-cash interest expense, partially offset by $0.7 million of income related to the accretion of discounts on available-for-sale marketable securities. The change in our net operating assets and liabilities was primarily due to a decrease in accrued compensation of $6.9 million, a decrease in other current liabilities of $4.4 million, a decrease in operating lease liability of $0.5 million and an increase in prepaid expense and other current assets of $0.1 million, partially offset by a $6.3 million increase in accounts payable.</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primarily due to our net loss of $44.6 million, decreased by non-cash charges of $1.9 million and increased by $2.2 million for changes in our net operating assets and liabilities. The non-cash charges primarily consisted of a $2.2 million stock-based compensation expense, a $0.7 million non-cash lease expense, a $0.6 million impairment charge of a capitalized software and a $0.5 million depreciation and amortization expense, partially offset by $2.1 million of income related to the accretion of discounts on available-for-sale marketable securities. The change in our net operating assets and liabilities was primarily due to a decrease in other current liabilities of $2.3 million, a decrease in accrued compensation of $1.8 million, a decrease in operating lease liability of $1.0 million, an increase in other non-current assets of $0.5 million and an increase in prepaid expense and other current assets of $0.4 million offset by an increase in accounts payable of $3.8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$50.2 million, which consisted of $115.9 million of purchases of available-for-sale marketable securities, partially offset by $65.7 million in proceeds from maturities of available-for-sale marketable securities.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$5.6 million, which consisted of $86.7 million in proceeds from maturities of available-for-sale marketable securities, offset by $81.1 million of purchases of available-for-sale marketable securities.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2026, was $0.1 million, which consisted of $0.2 million in proceeds from the exercise of common stock options, offset by $0.1 million related to finance lease obligations and $0.1 million payments for deferred offering costs related to the filing of the 2026 ATM Prospectus and $0.2 million of taxes paid related to net share settlement of RSUs.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2025, was $0.4 million, which consisted of $0.3 million related to finance lease obligations and $0.1 million payments for deferred offering costs related to the filing of the 2026 Registration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with CMOs for clinical supplies manufacturing and with other vendors for preclinical studies, supplies and other products and services for operating purposes. These agreements generally provide for termination at the request of either party generally with less than one-year notice and, therefore, we believe that our non-cancellable obligations under these agreements are not material.</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milestone, royalty and other payments due to third parties under our existing license and collaboration agreements. Refer to Note 6 to our condensed financial statements included in this Quarterly Report on Form 10-Q for additional details. We cannot estimate when such payments will be due and none of these events were probable to occur as of March 31, 2026. As of March 31, 2026, and December 31, 2025, we recognized a sublicensing fee of $3.8 million in our condensed balance sheets payable to Kite Therapeutics, Inc. by December 31, 2026 as discussed in Note 6 to our condensed financial statements included in this Quarterly Report on Form 10-Q.</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leased office and laboratory space in Emeryville, California under operating leases, or the Emeryville Lease. On February 27, 2026, we entered into a lease amendment to reduce total office and lab space and add new office space in the same building commencing around July 1, 2026. The term of the Emeryville Lease has been extended through August 31, 2030.</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have multiple leases for laboratory equipment with 36-month terms that are accounted for as finance leases. As of March 31, 2026, our non-cancellable lease obligations were $11.5 million and $0.2 million under operating and finance leases, respectively, of which $2.8 million and $0.2 million related to operating and finance leases, respectively, are due within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financial statements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and critical accounting estimates are described in Note 2 to our audited financial statements for the year ended December 31, 2025 included in Part II, Item 8 of our Annual Report on Form 10-K for the year ended December 31, 2025, filed with the SEC on March 26, 2026. There have been no material changes to our significant accounting policies or critical accounting estimates during the three months ended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 are no longer an emerging growth company or (b) affirmatively and irrevocably opt out of the extended transition period provided in the JOBS Act. As a result, our condensed financial statements may not be comparable to those of companies that comply with the new or revised accounting pronouncements as of public company effective dates. We may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choose to early adopt any new or revised accounting standards whenever such early adoption is permitted for private companies.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Form 10-K and, similar to emerging growth companies, smaller reporting companies have reduced disclosure obligations regarding executive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or the Exchange Act, and are not required to provide the information required under this item.</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or the CEO, and Chief Financial Officer, or the CFO (our principal executive officer and principal financial officer, respectively), evaluated the effectiveness of our disclosure controls and procedures as of March 31, 2026.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3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Based on their evaluation, the CEO and the CFO have concluded that our disclosure controls and procedures were effective at the reasonable assurance level as of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Weaknesses</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our management, with the oversight of the audit committee of our board of directors, designed and implemented measures to remediate the control deficiencies that previously contributed to the material weaknesses and completed testing of the design and operating effectiveness of all remediated controls. These remediation efforts included the following:</w:t>
      </w:r>
    </w:p>
    <w:p>
      <w:pPr>
        <w:spacing w:after="0" w:line="14" w:lineRule="exact"/>
        <w:rPr>
          <w:sz w:val="20"/>
          <w:szCs w:val="20"/>
          <w:color w:val="auto"/>
        </w:rPr>
      </w:pPr>
    </w:p>
    <w:p>
      <w:pPr>
        <w:ind w:left="1020" w:right="2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additional accounting and IT personnel, including but not limited to the hiring of a Vice President of Accounting/Corporate Controller and a Head of Information Technology;</w:t>
      </w:r>
    </w:p>
    <w:p>
      <w:pPr>
        <w:ind w:left="1020" w:right="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our annual risk assessment and risk assessment based on the principles of the Committee of Sponsoring Organizations of the Treadway Commissions, or COSO;</w:t>
      </w: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entity level controls across each of the COSO components necessary for effective internal control;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general controls over information systems across our relevant financial systems;</w:t>
      </w:r>
    </w:p>
    <w:p>
      <w:pPr>
        <w:spacing w:after="0" w:line="9" w:lineRule="exact"/>
        <w:rPr>
          <w:rFonts w:ascii="Times New Roman" w:cs="Times New Roman" w:eastAsia="Times New Roman" w:hAnsi="Times New Roman"/>
          <w:sz w:val="18"/>
          <w:szCs w:val="18"/>
          <w:color w:val="auto"/>
        </w:rPr>
      </w:pPr>
    </w:p>
    <w:p>
      <w:pPr>
        <w:ind w:left="1020" w:right="6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designed and implemented the necessary management review controls at sufficient levels of precision across all financial statement areas;</w:t>
      </w:r>
    </w:p>
    <w:p>
      <w:pPr>
        <w:ind w:left="1020" w:right="16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performing manual procedures to validate the completeness and accuracy of certain reports generated from various financial systems that were relevant to the preparation of the financial statements.</w:t>
      </w:r>
    </w:p>
    <w:p>
      <w:pPr>
        <w:spacing w:after="0" w:line="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testing of our internal controls, management has determined that the controls related to the remediation actions discussed above were effectively designed and operated effectively for a sufficient period of time to enable us to conclude that the material weaknesses had been remediated as of December 31, 2025.</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6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no evaluation of controls can provide absolute assurance that all control issues and instances of fraud, if any, within the Company have been or would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In addition, the design of disclosure controls and procedures reflect the fact that there are resource constraints and the benefits of controls and procedures will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December 2024, a shareholder class action complaint was filed in the United States District Court for the Northern District of California against our Company, certain of our current and former officers and directors, and the underwriters of our IPO. Per a stipulated schedule, an amended complaint was filed on May 2, 2025, or the Amended Complaint. The Amended Complaint alleges that the registration statement on Form S-1 filed in connection with our IPO and the prospectus contained therein contained material misstatements or omissions in violation of federal securities laws. Pursuant to a stipulated order setting a response schedule, on June 26, 2025, the defendants filed a motion to dismiss the Amended Complaint. Defendants filed a motion to dismiss all of the claims on June 26, 2025, with plaintiff filing an opposition on August 18, 2025. Defendants filed their reply brief in support of the motion to dismiss on September 26, 2025. Following oral argument, on March 23, 2026, the court issued an order granting defendants’ motion to dismiss on all claims, with leave to amend the complaint. On April 20, 2026, Plaintiff filed another amended complaint alleging the same claims under the Securities Act of 1933, as amended. Defendants intend to file a motion to dismiss all claims in the amended complaint.</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on May 14, 2025, a stockholder derivative complaint was filed in the United States District Court for the Northern District of California against certain of our current and former officers and directors which was captioned Perez v. Seidenberg, et al., Case No. 3:25-cv-04163-PCP, or the Perez Action. On May 22, 2025, another stockholder derivative complaint was filed alleging the same claims against the same individual defendants captioned McDaniel v. Seidenberg, et al., Case No. 3:25-cv-04393-PCP, or the McDaniel Action, and together with the Perez Action, the Derivative Actions. The 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 consolidate the Derivative Actions as In re Kyverna Therapeutics Derivative Litigation, Case No. 5:25-cv-04163-PCP. Finally, on July 22, 2025, the court entered a stipulation and order staying the consolidated derivative action pending the disposition of the motion to dismiss the Amended Complaint in the related securities class action.</w:t>
      </w:r>
    </w:p>
    <w:p>
      <w:pPr>
        <w:spacing w:after="0" w:line="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believe we have good and substantial defenses to the claims in the Amended Complaint and the Derivative Actions, but there is no guarantee that we will be successful in these efforts. We are unable to determine whether any loss ultimately will occur or to estimate the range of such loss; therefore, no amount of loss has been accrued by us in our financial statements as of and for the quarter ended March 31, 2026. Regardless of outcome, litigation can have an adverse impact on us due to defense and settlement costs, diversion of management resources, negative publicity, reputational harm and other factors.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1A. Risk Factors.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an investment decision, you should carefully consider the risks described herein, as well as the risks and uncertainties discussed above under “Special Note Regarding Forward-Looking Statements”, before deciding whether to invest in our common stock. Our Annual Report on Form 10-K for the year ended December 31, 2025, filed with the SEC on March 26, 2026, in Part I –Item 1A, Risk Factors, describes important risk factors that could cause our business, financial condition, results of operations and growth prospects to differ materially from those indicated or suggested by forward-looking statements made in this Quarterly Report on Form 10-Q or presented elsewhere by management from time to time. Additional risks and uncertainties not currently known to us or that we currently deem to be immaterial may also materially and adversely affect our business. Risk factors marked with an asterisk (*) below include a change from or an update to the risk factors included in our Annual Report on Form 10-K for the fiscal year ended December 31, 2025, filed with the SEC on March 26,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spacing w:after="0" w:line="68" w:lineRule="exact"/>
        <w:rPr>
          <w:sz w:val="20"/>
          <w:szCs w:val="20"/>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6" w:name="page37"/>
    <w:bookmarkEnd w:id="36"/>
    <w:p>
      <w:pPr>
        <w:ind w:left="503" w:right="16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503" w:right="20"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1"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spacing w:after="0" w:line="67" w:lineRule="exact"/>
        <w:rPr>
          <w:rFonts w:ascii="Times New Roman" w:cs="Times New Roman" w:eastAsia="Times New Roman" w:hAnsi="Times New Roman"/>
          <w:sz w:val="18"/>
          <w:szCs w:val="18"/>
          <w:color w:val="auto"/>
        </w:rPr>
      </w:pPr>
    </w:p>
    <w:p>
      <w:pPr>
        <w:jc w:val="both"/>
        <w:ind w:left="503" w:right="30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jc w:val="both"/>
        <w:ind w:left="503" w:right="14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6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w:t>
      </w:r>
    </w:p>
    <w:p>
      <w:pPr>
        <w:spacing w:after="0" w:line="67" w:lineRule="exact"/>
        <w:rPr>
          <w:rFonts w:ascii="Times New Roman" w:cs="Times New Roman" w:eastAsia="Times New Roman" w:hAnsi="Times New Roman"/>
          <w:sz w:val="18"/>
          <w:szCs w:val="18"/>
          <w:color w:val="auto"/>
        </w:rPr>
      </w:pPr>
    </w:p>
    <w:p>
      <w:pPr>
        <w:ind w:left="503" w:right="140"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product candidates could be associated with side effects, adverse events, or other properties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71" w:lineRule="exact"/>
        <w:rPr>
          <w:rFonts w:ascii="Times New Roman" w:cs="Times New Roman" w:eastAsia="Times New Roman" w:hAnsi="Times New Roman"/>
          <w:sz w:val="18"/>
          <w:szCs w:val="18"/>
          <w:color w:val="auto"/>
        </w:rPr>
      </w:pPr>
    </w:p>
    <w:p>
      <w:pPr>
        <w:ind w:left="503" w:right="240"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w:t>
      </w:r>
    </w:p>
    <w:p>
      <w:pPr>
        <w:spacing w:after="0" w:line="71" w:lineRule="exact"/>
        <w:rPr>
          <w:rFonts w:ascii="Times New Roman" w:cs="Times New Roman" w:eastAsia="Times New Roman" w:hAnsi="Times New Roman"/>
          <w:sz w:val="18"/>
          <w:szCs w:val="18"/>
          <w:color w:val="auto"/>
        </w:rPr>
      </w:pPr>
    </w:p>
    <w:p>
      <w:pPr>
        <w:ind w:left="503" w:right="140" w:hanging="503"/>
        <w:spacing w:after="0" w:line="266"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1"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develop current and any future product candidates on acceptable terms.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7" w:name="page38"/>
    <w:bookmarkEnd w:id="37"/>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53" w:lineRule="exact"/>
        <w:rPr>
          <w:rFonts w:ascii="Times New Roman" w:cs="Times New Roman" w:eastAsia="Times New Roman" w:hAnsi="Times New Roman"/>
          <w:sz w:val="18"/>
          <w:szCs w:val="18"/>
          <w:color w:val="auto"/>
        </w:rPr>
      </w:pPr>
    </w:p>
    <w:p>
      <w:pPr>
        <w:ind w:left="1020" w:hanging="503"/>
        <w:spacing w:after="0" w:line="253"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has investigated serious risk of T-cell malignancy following BCMA-directed or CD19-directed autologous chimeric antigen receptor (CAR) T cell immunotherapies, such as KYV-101, and implemented boxed warnings and class labeling changes for certain currently marketed CAR T cell immunotherapies. In addition, the FDA noted that patients and clinical trial participants receiving treatment with these products should be monitored life-long for secondary malignancies. In April 2024, the FDA issued a public safety statement announcing its initiation of the class labeling changes and noting that patients and clinical trial participants receiving treatment with these products should be monitored life-long for secondary malignancies.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86"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common stock and will be able to control matters subject to stockholder approval.</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Limited Operating History and Financial Position</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have incurred substantial net losses and anticipate that we will continue to incur net losses for the foreseeable future. We have no products approved for commercial sale, have never generated any revenue from product sales and may never be profitable.</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a late-stage clinical biopharmaceutical company with a limited operating history. We were formed in 2018 and we have devoted substantially all of our efforts and financial resources to organizing and staffing our company, business planning, raising capital, discovering product candidates and securing related intellectual property rights, and conducting research and development activities for our product candidates, including miv-cel. Consequently, we have no meaningful operations upon which to evaluate our business, and predictions about our future success and viability may not be as accurate as they could be if we had a longer operating history or a history of successfully developing and commercializing program candidates. Investment in biotechnology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have not yet demonstrated the ability to progress any product candidate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we have incurred net losses since our inception through March 31, 2026. For the three months ended March 31, 2026 and 2025, we reported a net loss of $39.7 million and $44.6 million, respectively. As of March 31, 2026, we had an accumulated deficit of $464.6 million. We expect to continue to incur significant losses for the foreseeable future, and we expect these losses to increase as we continue our research and development, and seek regulatory approvals for our product candidates.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further clinical trials for miv-cel and our other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product candidates or any future product candidates, if approved;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expand, enforce and defend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interference, infringement and other intellectual property claims,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market developments;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regulatory approval for our product candidates, including as a result of macroeconomic conditions, geopolitical conflicts or other factors;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international expansion;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and any current or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the price of our common stock, and could impair our ability to raise capital, maintain our research and development efforts, expand our business or continue our operations. A decline in the value of our company also could cause you to lose all or part of your investment.</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(deficit) equity and working capital.</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our inception. We expect to continue to spend substantial amounts to continue the preclinical and clinical development of, and seek regulatory approval for, miv-cel and any future product candidates.</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Because the design and outcome of our planned and anticipated preclinical studies and clinical trials are highly uncertain, we cannot reasonably estimate the actual amounts necessary to successfully complete the development and commercialization of any product candidates we develop. If we are required by the U.S. Food and Drug Administration, or the FDA, or any comparable foreign regulatory authority to perform clinical trials or preclinical studies in addition to those that we currently anticipate, our expenses could increase. In addition, if we obtain regulatory approval to market any of our product candidates, we expect to incur significant commercialization expenses related to product sales, marketing, manufacturing and distribution. Other unanticipated costs may also arise.</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will incur additional costs associated with operating as a public company. Accordingly, we will need to obtain substantial additional funding in order to maintain our continuing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sales of our product candidates, if ever, 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7"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cannot guarantee that any or all of our product candidates will successfully complete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a significant portion of our efforts and financial resources in the development of our product candidates, each of which is still in clinical development, and expect that we will continue to invest heavily in these product candidates, as well as in any future product candidates we may develop.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 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will not be permitted to market or promote any of our product candidates until we receive regulatory approval from the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cannot be certain that our current or any future product candidates will be successful in clinical trials or receive regulatory approval. The FDA may also consider its approvals of competing products, which may alter the treatment landscape concurrently with its review of our investigational new drug applications, or INDs, or other submissions,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INDs or other submissions.</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is approved for marketing by applicable regulatory authorities, our ability to generate revenue from such product will depend on our ability to:</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products through contract manufacturing organizations, or CMOs, in sufficient quantities and at acceptable quality and manufacturing cost to meet commercial demand at launch and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products through our own marketing and sales activities, and any other arrangements to promote these products that we may otherwise establish;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0" w:name="page41"/>
    <w:bookmarkEnd w:id="40"/>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any of our products that receive regulatory approval;</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reimbursement and collections for any of our products that receive regulatory approval as part of the commercialization process;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healthcare professionals and patient advocacy groups, and communication of healthcare economic information to payors and formularies;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products will be used as directed and that additional unexpected safety risks will not arise.</w:t>
      </w:r>
    </w:p>
    <w:p>
      <w:pPr>
        <w:spacing w:after="0" w:line="3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as a result of operating as a public company, and our management will be required to devote substantial time and resources to new compliance initiatives.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the listing requirements of The Nasdaq Stock Market LLC, or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have hired and plan to continue to hire additional accounting, financial reporting, internal controls and other finance personnel or consultants, which has increased and will increase our costs and expenses.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9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over financial reporting, which were subsequently remediated. If we experience additional material weaknesses in the future or otherwise fail to maintain effective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previously identified material weaknesses in the design and operating effectiveness of our internal control over financial reporting. A material weakness is a deficiency, or combination of deficiencies, in internal control over financial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440"/>
        <w:spacing w:after="0" w:line="282" w:lineRule="auto"/>
        <w:rPr>
          <w:sz w:val="20"/>
          <w:szCs w:val="20"/>
          <w:color w:val="auto"/>
        </w:rPr>
      </w:pPr>
      <w:r>
        <w:rPr>
          <w:rFonts w:ascii="Times New Roman" w:cs="Times New Roman" w:eastAsia="Times New Roman" w:hAnsi="Times New Roman"/>
          <w:sz w:val="18"/>
          <w:szCs w:val="18"/>
          <w:color w:val="auto"/>
        </w:rPr>
        <w:t>reporting, such that there is a reasonable possibility that a material misstatement of the annual or interim financial statements will not be prevented or detected on a timely basis.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material weaknesses related to (i) an insufficient number of qualified resources to ensure adequate oversight and accountability over the performance of controls, including retention of control evidence, (ii) ineffective identification and assessment of risks impacting internal control over financial reporting, and (iii) insufficient evaluation and determination as to whether the components of internal controls were present and functioning based upon evidence maintained for management review controls and activity level controls across substantially all financial statement areas.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material weaknesses contributed to the following additional material weakness: we did not design and maintain effective (i) general controls over information systems that support the financial reporting process, (ii) controls over the completeness and accuracy of information used in the operation of control activities across substantially all financial statement areas, and (iii) management review controls at a sufficient level of precision to detect a material misstatement across substantially all financial statement areas that involve complex and judgmental areas of accounting and disclosure.</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our management, with the oversight of the audit committee of our board of directors, designed and implemented measures to remediate the control deficiencies contributing to the material weaknesses and completed testing of the design and operating effectiveness of all remediated controls. Through testing of our internal controls, our management determined that the controls related to the remediation actions were effectively designed and operated effectively for a sufficient period of time to enable us to conclude that the material weaknesses had been remediated as of December 31, 2025.</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However, we may discover new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We may not be able to implement improvements to our management information and control systems in an efficient or timely manner and may discover deficiencies in existing systems and controls. Because of the inherent limitations in all control systems, no evaluation of controls can provide absolute assurance that misstatements due to error or fraud will not occur or that all control issues and instances of fraud will be detected. If we identify additional material weaknesses or deficiencies in internal controls in the future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identify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if approved, do not achieve broad market acceptance, the revenue that we generate from their sales will be limited.</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54" w:lineRule="exact"/>
        <w:rPr>
          <w:sz w:val="20"/>
          <w:szCs w:val="20"/>
          <w:color w:val="auto"/>
        </w:rPr>
      </w:pPr>
    </w:p>
    <w:p>
      <w:pPr>
        <w:ind w:left="5540" w:right="4060" w:hanging="5023"/>
        <w:spacing w:after="0" w:line="532" w:lineRule="auto"/>
        <w:tabs>
          <w:tab w:leader="none" w:pos="10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 associated with our product candidates, and how the safety and tolerability profile of our product candidates compares to those of existing therapies, or those under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risk evaluation and mitigation strategy, or REMS, or voluntary risk management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and cost of administration of such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and/or logistical ease of newer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7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Covenants and other provisions in the Loan and Security Agreement with Oxford Finance may restrict our business and operations, and if we do not effectively manage our covenants, our financial conditions and results of operations could be adversely affected. In addition, our operations may not provide sufficient cash to meet the repayment obligations of our debt incurred under the Loan and Security Agreement.</w:t>
      </w:r>
    </w:p>
    <w:p>
      <w:pPr>
        <w:spacing w:after="0" w:line="1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Pursuant to the Loan and Security Agreement, dated October 31, 2025, or the Loan and Security Agreement, we granted to Oxford Finance LLC, or Oxford Finance, a security interest in substantially all of our assets, including our intellectual property. If an event of default occurs under the Loan and Security Agreement, Oxford Finance may foreclose on its security interest and liquidate some or all of these assets, which would harm our business, financial condition and results of operations.</w:t>
      </w:r>
    </w:p>
    <w:p>
      <w:pPr>
        <w:spacing w:after="0" w:line="18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event of a default in connection with our bankruptcy, insolvency, liquidation, or reorganization, Oxford Finance would have a prior right to substantially all of our assets to the exclusion of our general unsecured creditors. Only after satisfying the claims of Oxford Finance and any unsecured creditors would any amount be available for our equity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pledge of these assets and other restrictions imposed in the Loan and Security Agreement may limit our flexibility in raising capital for other purposes. Because substantially all of our assets are pledged to secure the Loan and Security Agreement obligations, our ability to incur additional indebtedness or to sell or dispose of assets to raise capital may be impaired, which could have an adverse effect on our financial flexibility.</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are unable to comply with certain financial and operating restrictions in the Loan and Security Agreement, we may be limited in our business activities and access to credit or may default under the Loan and Security Agreement. Provisions in the Loan and Security Agreement impose restrictions or require prior approval on our ability, and the ability of certain of our subsidiaries to, among other things:</w:t>
      </w:r>
    </w:p>
    <w:p>
      <w:pPr>
        <w:spacing w:after="0" w:line="28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the indebtedness of others or our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encumbrances;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new lines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 make distributions;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repurchase certain capital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certain parts of our business or property, including equity interests of our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other indebtedness;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companies and merge or consolidate.</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Loan and Security Agreement also contains other customary covenants, including financial covenants requiring us to maintain certain liquidity levels. We may not be able to comply with these covenants in the future. Our failure to comply with these covenants may result in the declaration of an event of default, which, if not cured or waived, may result in, among other things, the acceleration of our repayment obligations under the Loan and Security Agreement. If the maturity of our indebtedness is accelerated, we may not have sufficient funds available for repayment or we may not have the ability to borrow or obtain sufficient funds to replace the accelerated indebtedness on terms acceptable to us or at all. Our failure to repay our obligations under the Loan and Security Agreement would result in Oxford Finance foreclosing on all or a portion of our assets, which could force us to curtail or cease our operations.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and as our product candidates are used in named patient activities,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the European Medicines Agency, or the EMA,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We may need to obtain higher levels of product liability insurance for later stages of clinical development or marketing any of our product candidates. Any insurance we may obtain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right="220"/>
        <w:spacing w:after="0" w:line="266" w:lineRule="auto"/>
        <w:rPr>
          <w:sz w:val="20"/>
          <w:szCs w:val="20"/>
          <w:color w:val="auto"/>
        </w:rPr>
      </w:pPr>
      <w:r>
        <w:rPr>
          <w:rFonts w:ascii="Times New Roman" w:cs="Times New Roman" w:eastAsia="Times New Roman" w:hAnsi="Times New Roman"/>
          <w:sz w:val="18"/>
          <w:szCs w:val="18"/>
          <w:color w:val="auto"/>
        </w:rPr>
        <w:t>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 In addition, if we lose key management or other scientific or clinical personnel, or if we fail to recruit additional highly skilled personnel, our business, results of operations and financial condition could be adversely affected.</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129 full-time employees. As our development and commercialization plans and strategies develop, we expect to continue to expand our employee base for managerial, operational, financial and other resources. In addition, we have limited experience in manufacturing, marketing and commercialization.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success depends in part on our continued ability to attract, retain and motivate highly qualified management, clinical and scientific personnel. We are highly dependent upon our Chief Executive Officer and other members of our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8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Given the scarcity of professionals with the scientific knowledge that we require and the competition for qualified personnel among biotechnology businesses, we may not succeed in attracting or retaining the personnel we require to continue and grow our operations.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adversely affect our business, results of operations and financial condition.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or partners. Misconduct by these parties could include failures to comply with FDA regulations or comparable foreign regulations, to provide accurate information to the FDA or comparable foreign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civil, criminal and administrative penalties, damages, fines, disgorgement,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520"/>
        <w:spacing w:after="0" w:line="282" w:lineRule="auto"/>
        <w:rPr>
          <w:sz w:val="20"/>
          <w:szCs w:val="20"/>
          <w:color w:val="auto"/>
        </w:rPr>
      </w:pPr>
      <w:r>
        <w:rPr>
          <w:rFonts w:ascii="Times New Roman" w:cs="Times New Roman" w:eastAsia="Times New Roman" w:hAnsi="Times New Roman"/>
          <w:sz w:val="18"/>
          <w:szCs w:val="18"/>
          <w:color w:val="auto"/>
        </w:rPr>
        <w:t>imprisonment, exclusion from government funded healthcare programs, such as Medicare and Medicaid or comparable foreign equivalents, integrity oversight and reporting obligations, and the curtailment or restructuring of our operations.</w:t>
      </w:r>
    </w:p>
    <w:p>
      <w:pPr>
        <w:spacing w:after="0" w:line="266"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2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or NOL, carryforwards and certain other tax attributes to offset taxable income or taxes may be limited.</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2025, we had federal NOL carryforwards of $245.1 million and state NOL carryforwards of $333.8 million. Under the Internal Revenue Code of 1986, as amended, or the Code, our U.S. federal net operating losses will not expire and may be carried forward indefinitely but the deductibility of federal net operating losses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performed a Section 382 study as of December 31, 2025, and expect approximately $2.0 million of federal net operating losses, $12.1 million of federal research and development credits and $1.9 million California net operating losses to expire unused due to Section 382 limitations. Furthermore, there may be additional ownership changes in the future, including as a result of subsequent changes in our stock ownership, some of which may be outside of our control. As a result, if we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our company.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Additionally, new income, sales, use or other tax laws, statutes, rules, regulations or ordinances could be enacted at any time, which could adversely affect our business operations and financial performance. Further, existing tax laws, statutes, rules, regulations or ordinances could be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18"/>
          <w:szCs w:val="18"/>
          <w:color w:val="auto"/>
        </w:rPr>
        <w:t>interpreted, changed, modified or applied adversely to us. For example, on July 4, 2025, legislation commonly referred to as the One Big Beautiful Bill Act, or the OBBBA, was signed into law. The OBBBA includes significant provisions, such as the extension of many tax law provisions that were set to expire in 2025. The aggregate impact of the OBBBA remains uncertain, but could have a material impact on our business, cash flows, financial condition or results of operations. Further changes to the tax laws or changes to the administrative or judicial interpretations of such laws are possible and may apply with retroactive effect. It is also uncertain if and to what extent various states will conform to federal tax laws.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Future tax reform legislation could have a material impact on the value of our deferred tax assets, could result in significant one-time charges, and could increase our future tax expense.</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concentrated in one location, and we or the third parties upon whom we depend may be adversely affected by a wildfire and earthquake or other natural disasters and our business continuity and disaster recovery plans may not adequately protect us from a serious disaster.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contract research organizations, or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could adversely affect our business, financial condition, results of operations or liquidity, either directly or through adverse impacts on certain of the third parties on which we rely to conduct certain aspects of our preclinical studies or clinical trials.</w:t>
      </w:r>
    </w:p>
    <w:p>
      <w:pPr>
        <w:spacing w:after="0" w:line="6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including severely diminished liquidity and credit availability, rising inflation and monetary supply shifts,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18"/>
          <w:szCs w:val="18"/>
          <w:color w:val="auto"/>
        </w:rPr>
        <w:t>rising interest rates, labor shortages, declines in consumer confidence, declines in economic growth, increases in unemployment rates, recession risks, and uncertainty about economic and geopolitical stability. Following the COVID-19 pandemic and in connection with geopolitical conflicts, global economic and business activities continue to face widespread uncertainties. A severe or prolonged economic downturn, or additional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the general economic downturn.</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For example, the failures of Silicon Valley Bank, Signature Bank and First Republic Bank in the first half of 2023 resulted in significant disruption in the financial services industry. If any of the banks which hold our cash deposits were to be placed into receivership, we may be unable to access our cash, cash equivalents and available-for-sale marketable securities, which would adversely affect our business. In addition, if any of the third parties on which we rely to conduct certain aspects of our preclinical studies or clinical trials are unable to access funds pursuant to such instruments or lending arrangements with such a financial institution, such parties’ ability to fulfill their obligations to us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directors or officers may be subject to securities litigation, which is expensive and could divert management attention.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be the target of securities litigation in the future, including based on volatility in the market price of our stock and, as described more fully below, are currently named as a defendant in a securities class action complaint. The stock market in general, and Nasdaq and biopharmaceutical companies in particular, have experienced extreme price and volume fluctuations that have often been unrelated or disproportionate to the operating performance of companies. The market price of our common stock is volatile. In the past, companies that have experienced volatility in the market price of their stock have been subject to securities class action litigation. In addition, certain of our directors and officers are involved in ongoing securities or other lawsuits in the context of their roles with other public companies, and our directors or officers may in the future become involved in such litigation. Securities litigation (including the cost to defend against, and any potential adverse outcome resulting from any such proceeding) can be expensive, time-consuming, damage our reputation and divert our management’s and board of directors’ attention from other business concerns, which could seriously harm our business.</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noted above, in December 2024, a shareholder class action complaint was filed in the United States District Court for the Northern District of California against our company, certain of our current and former officers and directors, and the underwriters of our IPO. Per a stipulated schedule, an amended complaint was filed on May 2, 2025, or the Amended Complaint. The Amended Complaint alleges that the registration statement on Form S-1 filed in connection with our IPO and the prospectus contained therein contained material misstatements or omissions in violation of federal securities laws. Pursuant to a stipulated order setting a response schedule, on June 26, 2025, the defendants filed a motion to dismiss the Amended Complaint. Defendants filed a motion to dismiss all of the claims on June 26, 2025, with plaintiff filing an opposition on August 18, 2025. Defendants filed their reply brief in support of the motion to dismiss on September 26, 2025. Following oral argument, on March 23, 2026, the court issued an order granting defendants’ motion to dismiss on all claims, with leave to amend the complaint. On April 20, 2026, Plaintiff filed another amended complaint alleging the same claims under the Securities Act of 1933, as amended. Defendants intend to file a motion to dismiss all claims in the amended complaint.</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addition, on May 14, 2025, a stockholder derivative complaint was filed in the United States District Court for the Northern District of California against certain of our current and former officers and directors which was captioned </w:t>
      </w:r>
      <w:r>
        <w:rPr>
          <w:rFonts w:ascii="Times New Roman" w:cs="Times New Roman" w:eastAsia="Times New Roman" w:hAnsi="Times New Roman"/>
          <w:sz w:val="18"/>
          <w:szCs w:val="18"/>
          <w:i w:val="1"/>
          <w:iCs w:val="1"/>
          <w:color w:val="auto"/>
        </w:rPr>
        <w:t>Perez v. Seidenberg, et al.</w:t>
      </w:r>
      <w:r>
        <w:rPr>
          <w:rFonts w:ascii="Times New Roman" w:cs="Times New Roman" w:eastAsia="Times New Roman" w:hAnsi="Times New Roman"/>
          <w:sz w:val="18"/>
          <w:szCs w:val="18"/>
          <w:color w:val="auto"/>
        </w:rPr>
        <w:t xml:space="preserve">, Case No. 3:25-cv-04163- PCP, or the Perez Action. On May 22, 2025, another stockholder derivative complaint was filed alleging the same claims against the same individual defendants captioned </w:t>
      </w:r>
      <w:r>
        <w:rPr>
          <w:rFonts w:ascii="Times New Roman" w:cs="Times New Roman" w:eastAsia="Times New Roman" w:hAnsi="Times New Roman"/>
          <w:sz w:val="18"/>
          <w:szCs w:val="18"/>
          <w:i w:val="1"/>
          <w:iCs w:val="1"/>
          <w:color w:val="auto"/>
        </w:rPr>
        <w:t>McDaniel v. Seidenberg, et al.</w:t>
      </w:r>
      <w:r>
        <w:rPr>
          <w:rFonts w:ascii="Times New Roman" w:cs="Times New Roman" w:eastAsia="Times New Roman" w:hAnsi="Times New Roman"/>
          <w:sz w:val="18"/>
          <w:szCs w:val="18"/>
          <w:color w:val="auto"/>
        </w:rPr>
        <w:t>, Case No. 3:25-cv-04393-PCP, or the McDaniel Action, and together with the Perez Action, the Derivative Actions.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complaints filed in the Derivative Actions allege claims related to the allegations raised in the Amended Complaint. On June 2, 2025, the court entered a stipulation and order to stay the Perez Action pending the disposition of a motion to dismiss the Amended Complaint in the related securities class action. On June 25, 2025, the court entered a stipulation and order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consolidate the Derivative Actions as </w:t>
      </w:r>
      <w:r>
        <w:rPr>
          <w:rFonts w:ascii="Times New Roman" w:cs="Times New Roman" w:eastAsia="Times New Roman" w:hAnsi="Times New Roman"/>
          <w:sz w:val="18"/>
          <w:szCs w:val="18"/>
          <w:i w:val="1"/>
          <w:iCs w:val="1"/>
          <w:color w:val="auto"/>
        </w:rPr>
        <w:t>In re Kyverna Therapeutics Derivative Litigation</w:t>
      </w:r>
      <w:r>
        <w:rPr>
          <w:rFonts w:ascii="Times New Roman" w:cs="Times New Roman" w:eastAsia="Times New Roman" w:hAnsi="Times New Roman"/>
          <w:sz w:val="18"/>
          <w:szCs w:val="18"/>
          <w:color w:val="auto"/>
        </w:rPr>
        <w:t>, Case No. 5:25-cv-04163-PCP. On July 22, 2025, the court entered a stipulation and order staying the consolidated derivative action pending the disposition of the motion to dismiss the Amended Complaint in the related securities class action.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we have good and substantial defenses to the claims in the Amended Complaint and the Derivative Actions, but there is no guarantee that we will be successful in these efforts. We are unable to determine whether any loss ultimately will occur or to estimate the range of such loss; therefore, no amount of loss has been accrued by us in our financial statements for the quarter ended March 31, 2026. Regardless of outcome, litigation can have an adverse impact on us due to defense and settlement costs, diversion of management resources, negative publicity,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Development and Commercialization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large-scale or pivotal clinical trials, and we may be unable to do so for any product candidates we develop.</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successfully complete any large-scale or pivotal clinical trials, obtain regulatory approvals, manufacture a commercial scale product, or arrange for a third party to do so on our behalf, or conduct sales and marketing activities necessary for successful commercialization. Although our key employees have significant experience in leading clinical development programs, our experience conducting clinical trials with our product candidates is limited. Developing cell therapies, in particular autologous cell therapies, is a complex and resource-intensive process requiring a team of scientists, clinicians, and technical and regulatory experts. We may not be able to file INDs for any of our other product candidates on the timelines we expect, if at all. For example, we cannot be certain that the IND-enabling studies for our product candidates will be completed in a timely manner or be successful or that the manufacturing process will be validated in a timely manner. Even if we submit an IND for a product candidate, the FDA may not clear the IND and allow us to begin clinical trials in a timely manner or at all. The timing of submissions of INDs for our product candidates will be dependent on further preclinical and manufacturing success. Moreover, we cannot be sure that submission of an IND will result in the FDA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p>
    <w:p>
      <w:pPr>
        <w:spacing w:after="0" w:line="19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Additionally, we believe, through our interactions with the FDA under our Regenerative Medicine Advanced Therapy, or RMAT, designation, that our Phase 2 clinical trial in stiff-person syndrome, or SPS, which is a pivotal trial, will be sufficient for use as a registration-enabling study, and in May 2026, we initiated a rolling Biologic License Application, or BLA, submission for SPS. However, the FDA or other regulatory agencies may conclude that the trial is not sufficient to be registration-enabling to support a BLA, or similar submission in other jurisdictions.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8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have the product removed from the market after obtaining marketing approval.</w:t>
      </w:r>
    </w:p>
    <w:p>
      <w:pPr>
        <w:spacing w:after="0" w:line="329"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any patient who receives our product candidate in an investigator-initiated trial or on a named patient basis should not be viewed as representative of how the product candidate will perform in our clinical trials and may not be able to be used to establish safety or efficacy for regulatory approval.</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supply our investigational product candidate, miv-cel, in investigator-initiated trials and on a named patient basis to patients who have exhausted other treatment options and for whom there is a strong scientific rationale to support the use of an unapproved product candidate. The investigator-initiated trials we supply to are located in the United States and Germany, and the independent investigators of such trials file INDs for the treatment of multiple or individual patients with miv-cel.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also supplied miv-cel for use in single named patients in Germany, through a European distributor. In Germany, these single-patient efforts are termed “Individueller Heilversuch,” or single-patient treatment healing attempts, and occur outside of a controlled clinical trial setting and are not part of a codified German regulatory path. “Individueller Heilversuch” is a form of compassionate use treatment for an individual patient in Germany, where a procedure or treatment that has not received marketing authorization may be used for the expected benefit of a patient who has exhausted all available treatment options, under the discretion of the treating physician. The provision of miv-cel on a named patient basis and in investigator-initiated trials are not a substitute for, or intended to replace, our clinical trials. The primary goal of these compassionate use treatments is not to assess the effectiveness, but rather to provide a treatment option to patients who have exhausted all other options. We evaluate whether to grant such access or similar access in other foreign countries to miv-cel outside of our sponsored clinical trials on a case-by-case basis.</w:t>
      </w:r>
    </w:p>
    <w:p>
      <w:pPr>
        <w:spacing w:after="0" w:line="19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We do not control the design, administration or timing of investigator-initiated trials. Similarly, named patient treatments are carried out by independent physicians in a manner that the physician determines in his or her discretion to be appropriate, which may be inconsistent from patient to patient and may not be conducted in strict compliance with good clinical practices, or GCPs, which can lead to a treatment effect that may differ from that in our controlled clinical trials. In addition, we rely on each investigator and physician to ensure their own compliance with clinical and regulatory requirements in using our product candidate for investigator-initiated trials and named patient activities, and we could be subject to liability if they are out of compliance. Individual patient results from named patient settings, including, but not limited to, data, experiences, images or videos, are observational, patient-specific and reported by the patients’ respective physicians. Because of our lack of control over the settings in which these patients are given miv-cel, there can be no assurances that any positive results from such named patient activities are attributable to miv-cel, or that administration of miv-cel to other patients will have similar positive results. Patient data from these trials and named patient activities are not designed to be aggregated or reported as results and may be highly variable.</w:t>
      </w:r>
    </w:p>
    <w:p>
      <w:pPr>
        <w:spacing w:after="0" w:line="1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Before we can seek regulatory approval for any of our product candidates, we must demonstrate in well-controlled clinical trials statistically significant evidence that the product candidate is both safe and effective for the indication for which we are seeking approval. The results of investigator-initiated trials and named patient activities may not be used to establish safety or efficacy for purposes of obtaining regulatory approval.</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contrast, such trials and named patient activities could potentially identify significant concerns with respect to our product candidates that could impact our findings or clinical trials, and adversely affect our ability to obtain marketing approval from the FDA or other applicable regulatory authorities. To the extent the results of investigator-initiated trials or named patient activities are inconsistent with, or different from, the results of our sponsored trials or raise concerns regarding our product candidates, the FDA or a foreign regulatory authority may question the well-controlled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the risk for serious adverse events in the patient population of such trials and named patient activities is high. Adverse events, if attributed to our product candidate, could have a negative impact on the safety profile of our product candidates, and in turn cause significant delays or an inability to obtain regulatory approval or successfully commercialize our product candidates.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there is no guarantee that we will be able to continue to receive or publicize observational data through investigator-initiated trials or named patient activities using our product candidates. Our supply capabilities may limit the number of patients who are able to enroll in these trials or the number of named patients that can be treated, and we may in the future need to restructure or pause without advance notice such supply in order to enroll sufficient numbers of patients in our sponsored clinical trials, which could prompt adverse publicity or other disruptions. In addition, there is no clear regulatory framework under which we may supply our unapproved investigational product candidate in named patient settings, particularly for multiple named patients, outside of a clinical trial or a compassionate use program that is registered with applicable regulatory authorities. Our single-patient healing attempts are not part of a clinical trial or a compassionate use program that is registered with German regulatory authorities. As a result, if such supply of, or publication or other use of the observational data from named patient activities, is found to contravene regulatory requirements, we could potentially be subjected to liability, fines or other consequences, which could be further exacerbated if such patients experience adverse safety events. Furthermore, if we supply our unapproved investigational product candidate to a named patient who would have qualified for enrollment in our company-sponsored clinical trials in Germany, we may be subject to additional penalties.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line="200" w:lineRule="exact"/>
        <w:rPr>
          <w:sz w:val="20"/>
          <w:szCs w:val="20"/>
          <w:color w:val="auto"/>
        </w:rPr>
      </w:pPr>
    </w:p>
    <w:p>
      <w:pPr>
        <w:spacing w:after="0" w:line="31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All of our product candidates are either in preclinical or clinical development and their risk of failure is high. Some of the product candidates and technologies we are developing are novel and unproven, which makes it difficult to accurately predict the challenges we may face with respect to our product candidates as they proceed through development. We believe we may face greater risks with respect to our product candidates than many other biotechnology candidates because our product candidates are being developed to address conditions for which many prior products and product technologies have been unsuccessful. In addition, the patient population that our product candidates are seeking to target are often heavily immunosuppressed and may be more likely to experience serious adverse events with potential treatments and have higher morbidity rates generally than other patient populations. It is also impossible to predict whether our clinical trials will continue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Commencing any future clinical trials is subject to finalizing the trial design and submitting an application to the FDA or a similar foreign regulatory authority.</w:t>
      </w:r>
    </w:p>
    <w:p>
      <w:pPr>
        <w:spacing w:after="0" w:line="192"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Even after we make our submission, the FDA or other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In addition, the FDA or other regulatory authority may require information beyond what we plan to provide in or expect to be required for a marketing application, including additional chemistry, manufacturing and control information, or additional preclinical or clinical data to support approval. These requirements may delay or prevent approval and our commercialization plans, or we may decide to abandon the development program.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1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p>
    <w:p>
      <w:pPr>
        <w:spacing w:after="0" w:line="72" w:lineRule="exact"/>
        <w:rPr>
          <w:sz w:val="20"/>
          <w:szCs w:val="20"/>
          <w:color w:val="auto"/>
        </w:rPr>
      </w:pPr>
    </w:p>
    <w:p>
      <w:pPr>
        <w:ind w:left="1020" w:right="2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agencies,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for a clinical trial or to pay the substantial user fees required by the FDA upon the submission of a BLA or new drug application, or NDA;</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IRBs of the institutions in which such trials are being conducted, the FDA, EMA or other regulatory authorities, or if a clinical trial is recommended for suspension or termination by the Data Safety Monitoring Board, or DSMB, for such trial. A suspension or termination may be imposed due to a number of factors, including failure to conduct the clinical trial in accordance with regulatory requirements or our clinical protocols, failure by our CROs to perform in accordance with GCP requirements, or applicable regulatory guidelines in other countries, inspection of the clinical trial operations or trial site by the FDA, EMA or other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and the need to obtain agreement from multiple parties, and may increase our future costs and expenses.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clinical trials, our clinical development activities could be delayed or otherwise adversely affected, which could adversely affect our business, results of operations and financial condition.</w:t>
      </w:r>
    </w:p>
    <w:p>
      <w:pPr>
        <w:spacing w:after="0" w:line="51" w:lineRule="exact"/>
        <w:rPr>
          <w:sz w:val="20"/>
          <w:szCs w:val="20"/>
          <w:color w:val="auto"/>
        </w:rPr>
      </w:pPr>
    </w:p>
    <w:p>
      <w:pPr>
        <w:jc w:val="both"/>
        <w:ind w:right="68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52" w:name="page53"/>
    <w:bookmarkEnd w:id="52"/>
    <w:p>
      <w:pPr>
        <w:ind w:right="60"/>
        <w:spacing w:after="0" w:line="282" w:lineRule="auto"/>
        <w:rPr>
          <w:sz w:val="20"/>
          <w:szCs w:val="20"/>
          <w:color w:val="auto"/>
        </w:rPr>
      </w:pPr>
      <w:r>
        <w:rPr>
          <w:rFonts w:ascii="Times New Roman" w:cs="Times New Roman" w:eastAsia="Times New Roman" w:hAnsi="Times New Roman"/>
          <w:sz w:val="18"/>
          <w:szCs w:val="18"/>
          <w:color w:val="auto"/>
        </w:rPr>
        <w:t>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trial completion;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drugs approved for the indication the clinical trial is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being studied in relation to other available therapies;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the effects of global economic conditions and volatility in the credit and financial markets, tariffs imposed by the U.S. and other countries, inflationary pressures, trade wars, the conflict between Russia and Ukraine, war in Iran and other conflicts and instability in the Middle East, instability in Venezuela and other geopolitical conditions.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p>
    <w:p>
      <w:pPr>
        <w:spacing w:after="0" w:line="19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These factors may make it difficult for us to enroll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2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 In December 2021, we entered into a License and Collaboration Agreement, or the Intellia Agreement, with Intellia Therapeutics, Inc., a clinical-stage biotechnology company focused on developing novel therapeutics leveraging CRISPR-based technologies, or Intellia, to research and develop an allogeneic cell therapy product, or the CRISPR Product Candidate. Collaborations are complex and time-consuming to negotiate and document.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made substantial investments into the rapid development of novel treatments for immunological indications, including large and specialty pharmaceutical and biotechnology companies, some of which already have approved therapies in our current indications.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hospitals and clinics,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4" w:name="page55"/>
    <w:bookmarkEnd w:id="54"/>
    <w:p>
      <w:pPr>
        <w:ind w:right="200"/>
        <w:spacing w:after="0" w:line="282" w:lineRule="auto"/>
        <w:rPr>
          <w:sz w:val="20"/>
          <w:szCs w:val="20"/>
          <w:color w:val="auto"/>
        </w:rPr>
      </w:pPr>
      <w:r>
        <w:rPr>
          <w:rFonts w:ascii="Times New Roman" w:cs="Times New Roman" w:eastAsia="Times New Roman" w:hAnsi="Times New Roman"/>
          <w:sz w:val="18"/>
          <w:szCs w:val="18"/>
          <w:color w:val="auto"/>
        </w:rPr>
        <w:t>treatments that may potentially directly compete with our current or any future product candidates. We anticipate that we will continue to face increasing competition as new therapies and combinations thereof, and related data emerge.</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immunological indications, if approved, would face competition from existing approved immunological treatments, some of which have achieved commercial success, and potential new therapies that may become available in the future. For example, we are currently developing miv-cel for the treatment of B-cell-driven autoimmune diseases. Life sciences companies have been focused on similar therapeutics for B-cell-driven autoimmune diseases, including autologous and allogeneic CAR T-cell candidates as well as emerging in-vivo platforms and engineered immunotherapy approaches such as T-cell engagers. If approved, miv-cel would compete with currently approved therapeutics, including Rituxan and Ocrevus, both from Roche Holding AG, and generic immunosuppressive or biosimilar drugs, such as mycophenolate mofetil, glucocorticoids, azathioprine, cyclophosphamide, and IVIG, among others we anticipate will receive approvals in the near term. There are also a number of product candidates in clinical development by third parties that are intended to treat some B-cell-driven autoimmune diseases, such as obinutuzumab (targeting CD20 on B cells), which is also from Genentech/Roche Holding AG.</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compete successfully, we need to disrupt these currently marketed drugs, meaning that we will have to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line="200" w:lineRule="exact"/>
        <w:rPr>
          <w:sz w:val="20"/>
          <w:szCs w:val="20"/>
          <w:color w:val="auto"/>
        </w:rPr>
      </w:pPr>
    </w:p>
    <w:p>
      <w:pPr>
        <w:spacing w:after="0" w:line="31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adverse events or other properties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and financial condition.</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products, we must demonstrate through lengthy, complex and expensive preclinical studies and clinical trials that our current product candidates, including our lead product candidates, and any future product candidate are both safe, pure and potent, or effective for use in such product candidate’s target indication. Clinical testing is expensive, can take many years to complete and its outcome is inherently uncertain. In addition, some of the product candidates and technologies we are developing are novel and unproven, which make it impossible to predict whether our clinical trials will continue. The patient population that our product candidates are seeking to target also are often heavily immunosuppressed and may be more likely to experience serious adverse events with potential treatments and have higher morbidity rates generally than other patient populations. Failure can occur at any time during the clinical trial process.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generate desired safety and efficacy data despite having progressed through preclinical studies and initial clinical trials. A number of companies in the biopharmaceutical and biotechnology industries have suffered significant setbacks in advanced clinical trials due to lack of efficacy or unacceptable safety issues, notwithstanding promising results in earlier trials. Most product candidates that commence clinical trials are never approved and there can be no assurance that any of our clinical trials will ultimately be successful or support further clinical development of our current product candidates or any of our future product candidates or ultimately their approval. We do not expect to be able to use the results from any investigator-initiated trials or named patient activities conducted with our product candidates in any regulatory submission for marketing approval.</w:t>
      </w:r>
    </w:p>
    <w:p>
      <w:pPr>
        <w:spacing w:after="0" w:line="19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In addition, negative results from investigator-initiated trials as well as named patient activities involving our product candidates could cause similar issues. The product-related side effects could affect patient recruitment or the ability of enrolled patients to complete the trial or result in potential product liability claims. Any of these occurrences may harm our business, results of operations and financial condition significantly.</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clinical trials, investigator-initiated trials or named patient activities,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results of operations and financial condition significantly.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adverse events or other side effects not observed in our preclinical studies or previous clinical trials. In addition, if our product candidates are used in combination with other therapies, our product candidates may exacerbate adverse events associated with the therapy. Patients treated with our product candidates may also be undergoing surgical, radiation 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current or future clinical trials, in any investigator-initiated trials conducted with our product candidates, or in our named patient activities, we may have difficulty recruiting patients to the clinical trials, patients may drop out of our trials, or we may be required to abandon the trials or our development efforts of that product candidate altogether. 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results of operations and financial condition.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Such delayed side effects might be observed during the long-term follow-up FDA has insisted upon for certain gene therapy products. For example, in 2024, the FDA initiated class safety labeling changes for BCMA- or CD19-directed genetically modified autologous CAR T cell immunotherapies after it concluded that changes to the boxed warning were warranted to highlight the serious risk of T cell malignancies. In addition to labeling changes, if we were to identify delayed side effects with any of our product candidates, the FDA could require us to adopt a REMS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 that:</w:t>
      </w:r>
    </w:p>
    <w:p>
      <w:pPr>
        <w:spacing w:after="0" w:line="80"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formulation or analytical methods may result in additional costs or delay, which could adversely affect our business, results of operations and financial condition.</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towards approval and future commercialization, it is common that various aspects of the development program, such as manufacturing methods, formulation or analytical methods, are altered throughout the development process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 If we or our CMOs are not able to successfully manufacture our product candidates in sufficient quality and quantity, clinical development and timelines for our product candidates and subsequent approval could be adversely impacted.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5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54"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and privacy requirements for the conduct of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produced in the United States and shipping the product candidate to the patient abroad;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requirements and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obtaining any local supply of drugs or agents used with our product candidates, which are required by certain local clinical trial sites before conducting any study;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 or pandemics, or natural or man-made disasters, including earthquakes, tsunamis, fires or other medical epidemics, or geo-political actions, including war and terrorism.</w:t>
      </w:r>
    </w:p>
    <w:p>
      <w:pPr>
        <w:spacing w:after="0" w:line="16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The U.S. has imposed tariffs on a significant number of imports to the U.S. and significantly higher so-called reciprocal tariffs applicable to imports from many countries.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30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global development and collaboration with other pharmaceutical and biotechnology companies, may materially adversely affect our ability to attain or maintain profitable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any products that we may develop is subject to the FDA or comparable foreign authority approval process, and we currently, and will need to continue to, contract with manufacturers who can meet our and all applicable FDA or comparable foreign authority requirements on an ongoing basis.</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manufacturing process for any products that we may develop is subject to the FDA or comparable foreign authority approval process, and any contractors with which we contract for manufacturing must meet all applicable FDA or comparable foreign authority requirements on an ongoing basis. If we or our CMOs are unable to reliably produce products to specifications acceptable to the FDA or comparable foreign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 and criminal prosecutions, delay approval of our product candidates, impair commercialization efforts, increase our cost of goods, and have an adverse effect on our business, financial condition, results of operations and growth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and results of operations. In addition, we could incur higher manufacturing costs if manufacturing processes or standards change, and we could need to replace, modify, design or build and install equipment, all of which would require additional capital expenditures. Specifically, because our product candidates may have a higher cost of goods than conventional therapies, the risk that coverage and reimbursement rates may be inadequate for us to achieve profitability may be greater.</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party CMOs to manufacture and supply cell therapy products for our research and development purposes and for our clinical trials. Under our Master Services Agreement with Minaris Advanced Therapies Inc., or MAT, dated March 2022, or the MAT Agreement, MAT provides us with cell manufacturing, release and testing services for our miv-cel product candidate. Under our Development and Manufacturing Services Agreement, or the Elevate Agreement, with ElevateBio BaseCamp, Inc., or Elevate, we engaged Elevate in November 2024 to provide us with cell manufacturing, release and testing services for our miv-cel product candidate. Pursuant to our License and Supply Agreement with Oxford Biomedica (UK) Limited, or Oxford, dated September 2023, or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 Although we believe we currently have sufficient clinical-grade vector in inventory to move forward with our anticipated clinical trials, there is no guarantee that sufficient clinical-grade vector will be available in the quantities we require in the future or on terms that are acceptable to us.</w:t>
      </w:r>
    </w:p>
    <w:p>
      <w:pPr>
        <w:spacing w:after="0" w:line="18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9" w:name="page60"/>
    <w:bookmarkEnd w:id="59"/>
    <w:p>
      <w:pPr>
        <w:ind w:firstLine="509"/>
        <w:spacing w:after="0" w:line="254" w:lineRule="auto"/>
        <w:rPr>
          <w:sz w:val="20"/>
          <w:szCs w:val="20"/>
          <w:color w:val="auto"/>
        </w:rPr>
      </w:pPr>
      <w:r>
        <w:rPr>
          <w:rFonts w:ascii="Times New Roman" w:cs="Times New Roman" w:eastAsia="Times New Roman" w:hAnsi="Times New Roman"/>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current Good Manufacturing Practice, or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Moreover, if we are unable to manufacture or contract for a sufficient supply of our product candidates on acceptable terms, or if we encounter delays or difficulties in the scale-up of our manufacturing processes or our relationships with MAT, Elevate, Oxford or other manufacturers,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and results of operations. In addition, if any of our product candidates are approved for sale, our inability to manufacture or contract for a sufficient supply of such potential future products on acceptable terms would have a material adverse effect on our business, financial condition and results of operations.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could adversely affect our business, results of operations and financial condition.</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For example, we have two patent license agreements, or the NIH Agreements, with the National Institutes of Health, or the NIH, pursuant to which we obtained exclusive, worldwide licenses to certain patents to use an anti-CD19 CAR in our autologous and allogeneic CAR T-cell products for the treatment of patients with autoimmune disease, which is the CAR we used to create our lead product candidate, miv-cel. Any termination of these licenses could result in the loss of significant rights and could harm our ability to commercialize our product candidates.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also may arise between us and our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future commercialization of our product candidates,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and rights to use inventions and know-how resulting from the joint or individual creation or use of intellectual property by our licensors and us and our partners.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addition, certain of our current and future agreements with third parties may limit or delay our ability to consummate certain transactions, may impact the value of those transactions, or may limit our ability to pursue certain activities.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0" w:name="page61"/>
    <w:bookmarkEnd w:id="60"/>
    <w:p>
      <w:pPr>
        <w:ind w:right="580"/>
        <w:spacing w:after="0" w:line="266" w:lineRule="auto"/>
        <w:rPr>
          <w:sz w:val="20"/>
          <w:szCs w:val="20"/>
          <w:color w:val="auto"/>
        </w:rPr>
      </w:pPr>
      <w:r>
        <w:rPr>
          <w:rFonts w:ascii="Times New Roman" w:cs="Times New Roman" w:eastAsia="Times New Roman" w:hAnsi="Times New Roman"/>
          <w:sz w:val="18"/>
          <w:szCs w:val="18"/>
          <w:color w:val="auto"/>
        </w:rPr>
        <w:t>example, we may enter into license agreements that are not assignable or transferable, or that require the licensor’s express consent in order for an assignment or transfer to take place.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6"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spacing w:after="0" w:line="28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rely upon a combination of in-licensed patents, know-how and confidentiality agreements to protect the intellectual property related to our product candidates and technologies and to prevent third parties from copying and surpassing our achievements, thus eroding our competitive position in our market. For example, pursuant to the NIH Agreements, we obtained exclusive, worldwide licenses to certain patents to use an anti-CD19 CAR in our autologous and allogeneic CAR T-cell products for the treatment of patients with autoimmune disease, which is the CAR we used to create our lead product candidate, miv-cel.</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our existing patents and any future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our outside counsel or our licensors to take necessary action to comply with patent protection requirements with respect to our owned or in-licensed intellectual property. The United States Patent and Trademark Office, or the USPTO, and various non-U.S. government patent agencies require compliance with several procedural, documentary, fee payment and other similar provisions during the patent application process. Non-compliant events could result in abandonment or lapse of a patent or patent application.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or our collaborators’ or licensors’ pending patent applications directed to composition of matter of our product candidates will be considered patentable by the USPTO, or by patent offices in foreign countries, or that the claims in any of our or our licensors’ issued patents will be considered valid and enforceable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1" w:name="page62"/>
    <w:bookmarkEnd w:id="61"/>
    <w:p>
      <w:pPr>
        <w:ind w:right="40"/>
        <w:spacing w:after="0" w:line="258" w:lineRule="auto"/>
        <w:rPr>
          <w:sz w:val="20"/>
          <w:szCs w:val="20"/>
          <w:color w:val="auto"/>
        </w:rPr>
      </w:pPr>
      <w:r>
        <w:rPr>
          <w:rFonts w:ascii="Times New Roman" w:cs="Times New Roman" w:eastAsia="Times New Roman" w:hAnsi="Times New Roman"/>
          <w:sz w:val="18"/>
          <w:szCs w:val="18"/>
          <w:color w:val="auto"/>
        </w:rPr>
        <w:t>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Certain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protection with respect to our product candidates or their uses could adversely affect our business, financial condition, results of operations and prospects.</w:t>
      </w:r>
    </w:p>
    <w:p>
      <w:pPr>
        <w:spacing w:after="0" w:line="3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issued patents or patents that issue in the future will not be challenged and rendered invalid and/or unenforceable.</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licensors will be successful in protecting our product candidates by obtaining and defending patents. We have pending and issued U.S. and foreign patents and patent applications in our portfolio; however, we cannot predict:</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issued patent will provide protection against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will result in issued patents with claims that cover each of our product candidates or uses thereof in the United States or in other foreign countries.</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and future patent applications may not result in patents being issued that protect our product candidates, in whole or in part, or which effectively prevent others from commercializing competitive products.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with respect to particular compositions of interest known to the public, third parties may be able to obtain patents on improvements or other inventions relating to such compositions if they were to discover the same patentable inventions relating to such compositions after us but manage to file a patent application before we do. In addition, we may enter into non-disclosure and confidentiality agreements with parties who have access to confidential or patentable aspects of our research and development output, such as our employees, collaborators, consultants, advisors and other third parties; however, any of these parties may breach the agreements and disclose such output before a patent application is filed, thereby jeopardizing our ability to obtain patent protection.</w:t>
      </w:r>
    </w:p>
    <w:p>
      <w:pPr>
        <w:spacing w:after="0" w:line="19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our patents protecting such product candidates might expire before or shortly after such product candidates are commercialized.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3" w:name="page64"/>
    <w:bookmarkEnd w:id="63"/>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our intellectual property may not provide us with sufficient rights to exclude others from commercializing products similar or identical to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licenses with third parties, we could lose license rights that are important to our business, which could adversely affect our business, results of operations and financial condition.</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party to license agreements pursuant to which we in-license patent and patent applications, know-how, trade secrets and data rights for our product candidates. These include, for example, the NIH Agreements, pursuant to which we obtained exclusive, worldwide licenses to certain patents to use an anti-CD19 CAR in our autologous and allogeneic CAR T-cell products for the treatment of patients with autoimmune disease, and the Intellia Agreement, which provides for the research and development of the CRISPR Product Candidate. These existing licenses impose on us various diligence, milestone payment, royalty, insurance and other obligations. If we fail to comply with these obligations, our licensors may have the right to terminate the license, in which event we would not be able to develop or market the products covered by such licensed intellectual property.</w:t>
      </w:r>
    </w:p>
    <w:p>
      <w:pPr>
        <w:spacing w:after="0" w:line="18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may also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will result in valid and enforceable patents and other intellectual property rights. Our licensors may not successfully prosecute the patent applications that are licensed to us in a manner consistent with the best interests of our business. We may need the cooperation of our licensors in order to enforce any licensed patents against third parties, and such cooperation may not be provided to us. In addition,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some of the same intellectual properties that we have licensed or from otherwise duplicating our business model and operations.</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Since parties we have licenses with are developing therapies to similar technologies, they may make their methods and data available to third parties, who may want to enter into our line of business and compete against us. Although we currently exclusively license certain intellectual property for each of our product candidates, there can be no assurance we will not need to license other intellectual property on a non-exclusive basis in the future or that our exclusively licensed intellectual property could be used to prevent third parties from duplicating our business plan or from otherwise directly competing against us. Further, no assurance can be given that our existing exclusive rights are or will be sufficient to prevent others from competing with us and developing substantially similar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current and any future product candidates on acceptable terms.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and governmental authorities to accelerate our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including our competitors. If such intellectual property is solely owned by the institution, we may have to abandon development of such program, and our business, results of operations and financial condition could be adversely affected. If such intellectual property is jointly owned by us and the institution, our loss of exclusivity may permit others to market competing products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5521960</wp:posOffset>
            </wp:positionH>
            <wp:positionV relativeFrom="paragraph">
              <wp:posOffset>-905510</wp:posOffset>
            </wp:positionV>
            <wp:extent cx="285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licensed from various third parties may be subject to retained rights.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particular, under the NIH Agreements, the NIH reserves, on behalf of the United States federal government and certain third parties, an irrevocable, nonexclusive, worldwide, royalty-free license to practice all of the inventions licensed under such agreements, and the NIH also reserves the right to grant third parties research licenses on reasonable terms. Under the Intellia Agreement, Intellia is granted an irrevocable, nonexclusive, worldwide, royalty-free license to fully exploit certain Intellia-developed products that are not directed to CD19 or other B-cell antigens and which are not intended for treatment or prevention of autoimmune or inflammatory diseases or conditions and not for humoral rejection for solid organ transplantation.</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at times choose to collaborate with academic institutions to accelerate our research or development. If the co-developed intellectual property is subject to the Patent and Trademark Law Amendments Act, or the Bayh-Dole Act, the United States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ind w:firstLine="509"/>
        <w:spacing w:after="0" w:line="254"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patents and pending patent applications exist in our market that are owned by third parties. Our competitors in both the United States and abroad, some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p>
    <w:p>
      <w:pPr>
        <w:spacing w:after="0" w:line="19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the patents and other intellectual property rights of third parties. We are aware of third-party U.S. and European patents related to CAR T cells for use in treating autoimmune diseases, which may be relevant to our product candidates. If these patent rights were enforced against us, we believe that we have defenses against any such action, including that these patents are not valid. There could be additional issued patents of which we are not aware that our current or potential future product candidates infringe. There also could be patents that we believe we do not infringe, but that we may ultimately be found to infringe.</w:t>
      </w:r>
    </w:p>
    <w:p>
      <w:pPr>
        <w:spacing w:after="0" w:line="1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Third-party patents can be challenged in administrative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at the USPTO or patent opposition proceedings at the European Patent Office, but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 In addition, competitors may file continuing patent applications claiming priority to already issued patents in the form of continuation, divisional or continuation-in-part applications, in order to maintain the pendency of a patent family and attempt to cover our product candidates by new patents.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and may sue us for patent or other intellectual property infringement. These lawsuits are costly and could adversely affect our business, financial condition and results of operations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spacing w:after="0" w:line="256" w:lineRule="auto"/>
        <w:rPr>
          <w:sz w:val="20"/>
          <w:szCs w:val="20"/>
          <w:color w:val="auto"/>
        </w:rPr>
      </w:pPr>
      <w:r>
        <w:rPr>
          <w:rFonts w:ascii="Times New Roman" w:cs="Times New Roman" w:eastAsia="Times New Roman" w:hAnsi="Times New Roman"/>
          <w:sz w:val="18"/>
          <w:szCs w:val="18"/>
          <w:color w:val="auto"/>
        </w:rPr>
        <w:t>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delay commercialization of our products in the corresponding jurisdiction until the patents expire.</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cannot provide any assurances that no valid third-party patents and other intellectual property rights can be enforced against our current technology, including our research programs, product candidates, their respective methods of use, manufacture and formulations thereof. If we are sued for infringing intellectual property rights of third parties, such litigation could result in either an injunction prohibiting our manufacture or future sales, or, with respect to our future sales, an obligation on our part to pay royalties and/or other forms of compensation to third parties, which could be significant.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and results of operations. Any claims by third parties that we have misappropriated their confidential information or trade secrets could have a similar material and adverse effect on our business, financial condition and results of operations. In addition, any uncertainties resulting from the initiation and continuation of any litigation could have a material adverse effect on our ability to raise the funds necessary to continue our operations.</w:t>
      </w:r>
    </w:p>
    <w:p>
      <w:pPr>
        <w:spacing w:after="0" w:line="30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5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one of our licensing partners may be required to file infringement claims, which can be expensive and time-consuming and divert the time and attention of our management and scientific personnel. Our or our licensors’ pending patent applications cannot be enforced against third parties practicing the technology claimed in such applications unless and until a patent is issued from such applications. Any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also could make it more difficult to obtain or defend patents.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ind w:right="380"/>
        <w:spacing w:after="0" w:line="282" w:lineRule="auto"/>
        <w:rPr>
          <w:sz w:val="20"/>
          <w:szCs w:val="20"/>
          <w:color w:val="auto"/>
        </w:rPr>
      </w:pPr>
      <w:r>
        <w:rPr>
          <w:rFonts w:ascii="Times New Roman" w:cs="Times New Roman" w:eastAsia="Times New Roman" w:hAnsi="Times New Roman"/>
          <w:sz w:val="18"/>
          <w:szCs w:val="18"/>
          <w:color w:val="auto"/>
        </w:rPr>
        <w:t>that the party against whom we have asserted trademark infringement has superior rights to the marks in question. In this case, we could ultimately be forced to cease use of such trademarks.</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at the European Patent Office or similar proceedings in other foreign patent offices, where either our owned or in-licensed foreign patents are challenged.</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 or claims asserting that our employees, consultants or advisors have wrongfully used or disclosed alleged trade secrets of their current or former employers.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or their methods of use or manufacture, and may result in joint ownership of our inventions in the absence of agreements with such third parties assigning ownership rights to us.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and we may in the future be subject to claims that our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or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8" w:name="page69"/>
    <w:bookmarkEnd w:id="68"/>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 If we do not obtain patent term extension for our product candidates, our business may be materially harmed.</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w:t>
      </w:r>
    </w:p>
    <w:p>
      <w:pPr>
        <w:spacing w:after="0" w:line="18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ind w:right="760"/>
        <w:spacing w:after="0" w:line="282" w:lineRule="auto"/>
        <w:rPr>
          <w:sz w:val="20"/>
          <w:szCs w:val="20"/>
          <w:color w:val="auto"/>
        </w:rPr>
      </w:pPr>
      <w:r>
        <w:rPr>
          <w:rFonts w:ascii="Times New Roman" w:cs="Times New Roman" w:eastAsia="Times New Roman" w:hAnsi="Times New Roman"/>
          <w:sz w:val="18"/>
          <w:szCs w:val="18"/>
          <w:color w:val="auto"/>
        </w:rPr>
        <w:t>to attack the validity of a patent by USPTO administered post-grant proceedings, including post-grant review, inter partes review, and derivation proceedings.</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or our licensors’ ability to obtain new patents and patents that we or our licensors might obtain in the future.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UPC. As the UPC is a relatively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unitary patent system.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spacing w:after="0" w:line="2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merely descriptive, generic or determined to be infringing on other marks. The use of our registered and unregistered marks is also limited by certain agreements with third parties.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not survive such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0" w:name="page71"/>
    <w:bookmarkEnd w:id="70"/>
    <w:p>
      <w:pPr>
        <w:ind w:right="80"/>
        <w:spacing w:after="0" w:line="282" w:lineRule="auto"/>
        <w:rPr>
          <w:sz w:val="20"/>
          <w:szCs w:val="20"/>
          <w:color w:val="auto"/>
        </w:rPr>
      </w:pPr>
      <w:r>
        <w:rPr>
          <w:rFonts w:ascii="Times New Roman" w:cs="Times New Roman" w:eastAsia="Times New Roman" w:hAnsi="Times New Roman"/>
          <w:sz w:val="18"/>
          <w:szCs w:val="18"/>
          <w:color w:val="auto"/>
        </w:rPr>
        <w:t>register it, as a trademark. Similar requirements exist in Europe. The FDA typically conducts a review of proposed product names, including an evaluation of potential for confusion with other product names.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In many countries, owning and maintaining a trademark registration may not provide an adequate defense against a subsequent infringement claim asserted by the owner of a senior trademark.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patents or patent applications in foreign jurisdictions could result in substantial cost of defending our patent rights, put our patent applications at risk of not issuing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adversely affect our business, results of operations and financial condition.</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Although we have environmental liability insurance for our California facility as required by the related lease agreement, we do not currently carry specific biological waste or hazardous waste insurance coverage, workers compensation or property and casualty and general liability insurance policies that include coverage for criminal damages and fines arising from biological or hazardous waste exposure or contamination.</w:t>
      </w:r>
    </w:p>
    <w:p>
      <w:pPr>
        <w:spacing w:after="0" w:line="2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currently conducting, and may in the future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conducted, are currently conducting, and may in the future conduct one or more clinical trials of our current or future product candidates outside of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United States, we may never receive regulatory approval to market outside of the United States.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United States and are currently conducting certain clinical trials internationally, including in Europe.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255" w:lineRule="auto"/>
        <w:rPr>
          <w:sz w:val="20"/>
          <w:szCs w:val="20"/>
          <w:color w:val="auto"/>
        </w:rPr>
      </w:pPr>
      <w:r>
        <w:rPr>
          <w:rFonts w:ascii="Times New Roman" w:cs="Times New Roman" w:eastAsia="Times New Roman" w:hAnsi="Times New Roman"/>
          <w:sz w:val="18"/>
          <w:szCs w:val="18"/>
          <w:color w:val="auto"/>
        </w:rPr>
        <w:t>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Any of 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clinical trials, and an extensive regulatory approval process are required to be completed successfully in the United States and in many foreign jurisdictions before a new product can be marketed. Satisfaction of these and other regulatory requirements is costly, time-consuming, uncertain and subject to unanticipated delays. It is possible that none of our product candidates will obtain the regulatory approvals necessary for us to begin selling them.</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until we receive regulatory approval of our product candidates through an NDA or BLA from the FDA. The FDA and other regulatory authorities may delay, limit or deny approval of our product candidates for many reasons, including:</w:t>
      </w:r>
    </w:p>
    <w:p>
      <w:pPr>
        <w:spacing w:after="0" w:line="81" w:lineRule="exact"/>
        <w:rPr>
          <w:sz w:val="20"/>
          <w:szCs w:val="20"/>
          <w:color w:val="auto"/>
        </w:rPr>
      </w:pPr>
    </w:p>
    <w:p>
      <w:pPr>
        <w:ind w:left="1020" w:right="2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or other regulatory authorities that any of our product candidates are safe and effective for any indication;</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or other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the number, design, size, conduct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not find the data from preclinical studies and clinical trials sufficient to demonstrate that the benefits of any of our product candidates outweigh their safety risks;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our interpretation of data from preclinical studies or clinical trials, or may not accept data generated at our clinical trial sites;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any of our product candidates may not be sufficient to support the submission of an IND or other application for regulatory approval;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REMS and other regulatory authorities may require a risk management plan, or RMP, as a condition of approval for new products, among other additional requirements;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identify deficiencies in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change their approval policies or adopt new regulations;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simultaneous approval for both adults and for children and adolescents, which may delay approval, or we may have successful clinical trial results for adults but not children and adolescents, or vice versa.</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clinical trial. The FDA or other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other regulatory authorities for obtaining approval.</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or other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or comparable foreign risk management approaches. The FDA or other regulatory authorities may not accept the labeling claims that we believe would be necessary or desirable for the successful commercialization of our product candidates.</w:t>
      </w:r>
    </w:p>
    <w:p>
      <w:pPr>
        <w:spacing w:after="0" w:line="183"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or NDA that we may submit by defining requirements that we do not anticipate. Such responses could delay clinical development of any of our product candidates or any future product candidates.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November 28, 2023, the FDA issued a statement that it was investigating serious risk of T-cell malignancy following BCMA-directed or CD19-directed autologous chimeric antigen receptor, or CAR, T cell immunotherapies, such as miv-cel. While the FDA noted that it believed that the overall benefits of these products continue to outweigh their potential risks for their approved uses, the FDA stated that it was investigating the identified risk of T-cell malignancy with serious outcomes, including hospitalization and death, and was evaluating the need for regulatory action. In January 2024, the FDA notified the manufacturers of the six FDA-approved BCMA-directed and CD19-directed chimeric CAR genetically modified autologous T-cell therapies that their products’ safety information must be updated to include a boxed warning that T-cell malignancies have occurred following treatment with BCMA-directed and CD19-directed genetically modified autologous T-cell immunotherapies. In April 2024, the FDA issued a public safety statement announcing its initiation of the class labeling changes and noting that patients and clinical trial participants receiving treatment with these products should be monitored life-long for secondary malignancies. Because all currently approved CAR T-cell immunotherapies are in oncology indications, there can be no assurance that the FDA will reach the same risk-benefit analysis in other indications, such as autoimmune. Given that the autoimmune diseases we are seeking to treat are different indications from the approved oncology indications, the FDA and other regulatory authorities may apply a different benefit-risk assessment threshold such that even if our product candidate demonstrated a similar safety profile as current CAR T-cell therapies, the FDA could ultimately determine that the harmful side effects outweigh the benefits and require us to cease clinical trials or deny approval of our product candidates.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require us to include a boxed warning on any of our product candidates that receive regulatory approval or impose additional post-approval requirements on any of our product candidates that receive regulatory approval.</w:t>
      </w:r>
    </w:p>
    <w:p>
      <w:pPr>
        <w:spacing w:after="0" w:line="193"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product candidates, alone or with our partners, such product may become subject to unfavorable pricing regulations, third-party reimbursement practices or healthcare reform initiatives, which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72"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5" w:name="page76"/>
    <w:bookmarkEnd w:id="75"/>
    <w:p>
      <w:pPr>
        <w:ind w:right="20"/>
        <w:spacing w:after="0" w:line="252" w:lineRule="auto"/>
        <w:rPr>
          <w:sz w:val="20"/>
          <w:szCs w:val="20"/>
          <w:color w:val="auto"/>
        </w:rPr>
      </w:pPr>
      <w:r>
        <w:rPr>
          <w:rFonts w:ascii="Times New Roman" w:cs="Times New Roman" w:eastAsia="Times New Roman" w:hAnsi="Times New Roman"/>
          <w:sz w:val="18"/>
          <w:szCs w:val="18"/>
          <w:color w:val="auto"/>
        </w:rPr>
        <w:t>increasing legislative and enforcement interest in the United States with respect to specialty drug pricing practices. Specifically, there have been several U.S. presidential executive orders, U.S. congressional inquiries and proposed and enacted federal and state legislation designed to, among other things, bring more transparency to drug pricing, reform government program reimbursement methodologies for pharmaceutical products, reduce the cost of prescription drugs under Medicare, review the relationship between pricing and manufacturer patient programs, and reform government program reimbursement methodologies for drugs. In addition,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took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announced its selection of 15 additional drugs covered by Part D for the second cycle of negotiations, the prices of which will be effective starting January 1, 2027.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w:t>
      </w:r>
    </w:p>
    <w:p>
      <w:pPr>
        <w:spacing w:after="0" w:line="19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Several pharmaceutical companies, as well as the U.S. Chamber of Commerce, and the Pharmaceutical Research and Manufacturers of America have filed lawsuits against HHS and the Centers for Medicare &amp; Medicaid Services, or CMS, asserting that, among other things, the IRA’s drug price negotiation program for Medicare constitutes an uncompensated taking in violation of the Fifth Amendment of the U.S. Constitution and is otherwise unlawful. HHS has generally won the substantive disputes in these cases. Certain of these cases continue to be appealed.</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current U.S. administration is pursuing policies to reduce regulations and expenditures across government, including at HHS, the FDA, CMS and related agencies. These actions, frequently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CMNI, to consider new payment and healthcare models to limit drug spending; (3) eliminating the Biden administration’s executive order that directed HHS to establishing an AI task force and developing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w:t>
      </w:r>
    </w:p>
    <w:p>
      <w:pPr>
        <w:spacing w:after="0" w:line="1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6" w:name="page77"/>
    <w:bookmarkEnd w:id="76"/>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91"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Our current and future arrangements with healthcare providers, third-party payors and customers can expose us to broadly applicable fraud and abuse and other healthcare laws and regulations, which may constrain the business or financial arrangements and relationships through which we research and, if approved, sell, market and distribute our products.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laws that may affect our ability to operate include, but are not limited to:</w:t>
      </w:r>
    </w:p>
    <w:p>
      <w:pPr>
        <w:spacing w:after="0" w:line="86" w:lineRule="exact"/>
        <w:rPr>
          <w:sz w:val="20"/>
          <w:szCs w:val="20"/>
          <w:color w:val="auto"/>
        </w:rPr>
      </w:pPr>
    </w:p>
    <w:p>
      <w:pPr>
        <w:ind w:left="1020" w:right="8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140" w:hanging="503"/>
        <w:spacing w:after="0" w:line="271"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False Claims Act, or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65" w:lineRule="exact"/>
        <w:rPr>
          <w:rFonts w:ascii="Times New Roman" w:cs="Times New Roman" w:eastAsia="Times New Roman" w:hAnsi="Times New Roman"/>
          <w:sz w:val="17"/>
          <w:szCs w:val="17"/>
          <w:color w:val="auto"/>
        </w:rPr>
      </w:pPr>
    </w:p>
    <w:p>
      <w:pPr>
        <w:ind w:left="1020" w:right="10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7" w:name="page78"/>
    <w:bookmarkEnd w:id="77"/>
    <w:p>
      <w:pPr>
        <w:ind w:left="1020" w:right="60"/>
        <w:spacing w:after="0" w:line="261" w:lineRule="auto"/>
        <w:rPr>
          <w:sz w:val="20"/>
          <w:szCs w:val="20"/>
          <w:color w:val="auto"/>
        </w:rPr>
      </w:pPr>
      <w:r>
        <w:rPr>
          <w:rFonts w:ascii="Times New Roman" w:cs="Times New Roman" w:eastAsia="Times New Roman" w:hAnsi="Times New Roman"/>
          <w:sz w:val="18"/>
          <w:szCs w:val="18"/>
          <w:color w:val="auto"/>
        </w:rPr>
        <w:t>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72" w:lineRule="exact"/>
        <w:rPr>
          <w:sz w:val="20"/>
          <w:szCs w:val="20"/>
          <w:color w:val="auto"/>
        </w:rPr>
      </w:pPr>
    </w:p>
    <w:p>
      <w:pPr>
        <w:ind w:left="1020" w:right="180" w:hanging="503"/>
        <w:spacing w:after="0" w:line="25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some manufacturers of drugs, devices, biological products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 keeping, licensing, storage, tracking and tracing and security requirements intended to prevent the unauthorized sale of pharmaceutical products.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state and foreign enforcement bodies have continued to increase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results of operations and financial condition.</w:t>
      </w:r>
    </w:p>
    <w:p>
      <w:pPr>
        <w:spacing w:after="0" w:line="2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pathway,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line="252" w:lineRule="auto"/>
        <w:rPr>
          <w:sz w:val="20"/>
          <w:szCs w:val="20"/>
          <w:color w:val="auto"/>
        </w:rPr>
      </w:pPr>
      <w:r>
        <w:rPr>
          <w:rFonts w:ascii="Times New Roman" w:cs="Times New Roman" w:eastAsia="Times New Roman" w:hAnsi="Times New Roman"/>
          <w:sz w:val="18"/>
          <w:szCs w:val="18"/>
          <w:color w:val="auto"/>
        </w:rPr>
        <w:t>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under the Food and Drug Omnibus Reform Act of 2022, or FDORA, the FDA is permitted to require, as appropriate, that such studies be underway prior to approval or within a specified time period after the date accelerated approval is granted. The FDA has issued draft guidance that proposes criteria it will use to evaluate to determine if a trial is underway, including whether enrollment in the trial has been initiated. FDORA also requires sponsors to send updates to the FDA every 180 days on the status of such studies, including progress toward enrollment targets, and the FDA must promptly post this information publicly. In addition, FDORA gives the FDA increased authority to withdraw accelerated approval on an expedited basis if, for example, the sponsor fails to conduct such studies in a timely manner, such studies fail to confirm the drug’s clinical benefit or the sponsor fails to send the necessary updates to the FDA. The FDA is empowered to take action against companies that fail to conduct with due diligence any post-approval confirmatory study or submit timely reports to the agency on their progress. In addition, the FDA generally requires, unless otherwise informed by the agency, pre-approval of promotional materials for products receiving accelerated approval, which could adversely impact the timing of the commercial launch of the product.</w:t>
      </w:r>
    </w:p>
    <w:p>
      <w:pPr>
        <w:spacing w:after="0" w:line="193"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seeking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candidates would result in a longer time period to commercialization of such product candidate, if any, could increase the cost of development of such product candidate and could harm our competitive position in the marketplace.</w:t>
      </w:r>
    </w:p>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pursuing or maintaining Fast Track or other regulatory designations for our product candidates, and such designations may not actually lead to a faster development or regulatory approval process.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Although we received Fast Track designation for miv-cel for the treatment of patients with refractory lupus nephritis in May 2023, for miv-cel for the treatment of patients with myasthenia gravis, or MG, in December 2023 and for miv-cel for the treatment of patients with multiple sclerosis in January 2024 and RMAT designation for miv-cel for the treatment of SPS in July 2024 and for the treatment of MG in August 2024, these designations do not assure that we will experience a faster development process, regulatory review or regulatory approval process compared to conventional FDA procedures. In addition, the FDA may withdraw a Fast Track or other accelerated review designation if it believes that the designation is no longer supported by data from our clinical development program. Additionally, qualification for any expedited review procedure does not ensure that we will ultimately obtain regulatory approval for such product candidate. Access to an expedited program may expedite the development or approval process, but it does not change the standards for approval.</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Furthermore, although we may pursue additional opportunities to accelerate the development of certain of our product candidates through one or more of the FDA’s expedited program designations, we cannot be assured that any of our product candidates will qualify for such programs. The FDA may determine that our proposed target indication or other aspects of our clinical development plans do not qualify for such expedited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obtain additional orphan drug designation or orphan drug exclusivity for our product candidates.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grant orphan designation to a drug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t>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Orphan drug designation neither shortens the development time or regulatory review time of a product candidate, nor gives the product candidate any advantage in the regulatory review or approval process. We received orphan drug designation from the FDA for miv-cel for the treatment of MG in April 2024, for the treatment of SPS in August 2024, and for the treatment of SSc in September 2024, but we may not be granted orphan drug designations for our product candidates in other indications in the U.S. or in other jurisdictions.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a product candidate, we may not be able to obtain orphan drug exclusivity for that product candidate.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Finally, even if we obtain orphan drug exclusivity for a product, that exclusivity may not effectively protect the product from competition because the FDA has taken the position that, under certain circumstances, another drug with the same active moiety can be approved for the same condition. Specifically, the FDA’s regulations provide that it can approve another drug with the same active moiety for the same condition if the FDA concludes that the later drug is clinically superior in that it is shown to be safer, more effective or makes a major contribution to patient care.</w:t>
      </w:r>
    </w:p>
    <w:p>
      <w:pPr>
        <w:spacing w:after="0" w:line="28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RMAT designation for miv-cel for the treatment of SPS and for the treatment of MG. This designation may not lead to a faster development or regulatory review or approval process, and will not increase the likelihood that such product candidates will receive marketing approval.</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received RMAT designation for miv-cel for the treatment of SPS in July 2024 and for the treatment of MG in August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company may request RMAT designation of its product candidate, which designation may be granted if the product meets the following criteria:</w:t>
      </w:r>
    </w:p>
    <w:p>
      <w:pPr>
        <w:spacing w:after="0" w:line="27" w:lineRule="exact"/>
        <w:rPr>
          <w:sz w:val="20"/>
          <w:szCs w:val="20"/>
          <w:color w:val="auto"/>
        </w:rPr>
      </w:pPr>
    </w:p>
    <w:p>
      <w:pPr>
        <w:ind w:right="40" w:firstLine="8"/>
        <w:spacing w:after="0" w:line="251" w:lineRule="auto"/>
        <w:tabs>
          <w:tab w:leader="none" w:pos="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cell therapy, therapeutic tissue engineering product, human cell and tissue product, or any combination product using such therapies or products, with limited exceptions; (ii) it is intended to treat, modify, reverse, or cure a serious or life-threatening disease or condition; and (iii) preliminary clinical evidence indicates that the drug has the potential to address unmet medical needs for such a disease or condition. RMAT designation provides potential benefits that include more frequent meetings with FDA to discuss the development plan for the product candidate, and potential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post-approval, if appropriate. RMAT-designated products that receive accelerated approval may, as appropriate, fulfill their post-approval requirements through the submission of clinical evidence, clinical studies, patient registries, or other sources of real world evidence (such as electronic health records); through the collection of larger confirmatory data sets; or via post-approval monitoring of all patients treated with such therapy prior to approval of the therapy.</w:t>
      </w:r>
    </w:p>
    <w:p>
      <w:pPr>
        <w:spacing w:after="0" w:line="8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RMAT designation does not change the standards for product approval, and there is no assurance that any such designation or eligibility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80" w:name="page81"/>
    <w:bookmarkEnd w:id="8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or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former President Biden signed the IRA into law, which, among other things, extended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or legislative modifications in the future. It is unclear how other such challenges or modifications, and any healthcare reform measures of the current U.S. administration, will impact the ACA and our business.</w:t>
      </w:r>
    </w:p>
    <w:p>
      <w:pPr>
        <w:spacing w:after="0" w:line="19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In addition, in certain countries outside the United States, reimbursement for products that have not yet received marketing authorization may be provided through national managed access programs.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on July 4, 2025, the One Big Beautiful Bill Act was signed into law, which is expected to reduce Medicaid spending and enrollment by implementing work requirements for some beneficiaries, capping state-directed payments, reducing federal funding and limiting provider taxes used to fund the program. The One Big Beautiful Bill Act also narrows access to ACA marketplace exchange enrollment and declines to extend the ACA enhanced advanced premium tax credits, set to expire in 2025, which, among other provisions in the law, are anticipated to reduce the number of Americans with health insurance. Moreover, the American Rescue Plan Act of 2021, effective January 1, 2024, eliminated the statutory cap on rebate amounts owed by drug manufacturers under the MDRP, previously capped at 100% of the average manufacturer price for a covered outpatient drug.</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ACA, the IRA, and any other healthcare reform measures that may be adopted or implemented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regulatory environments could negatively impact our business.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ind w:right="480"/>
        <w:spacing w:after="0" w:line="282" w:lineRule="auto"/>
        <w:rPr>
          <w:sz w:val="20"/>
          <w:szCs w:val="20"/>
          <w:color w:val="auto"/>
        </w:rPr>
      </w:pPr>
      <w:r>
        <w:rPr>
          <w:rFonts w:ascii="Times New Roman" w:cs="Times New Roman" w:eastAsia="Times New Roman" w:hAnsi="Times New Roman"/>
          <w:sz w:val="18"/>
          <w:szCs w:val="18"/>
          <w:color w:val="auto"/>
        </w:rPr>
        <w:t>our product candidates, restrict or regulate post-approval activities and affect our ability to profitably sell any product for which we obtain marketing approval.</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December 2021, Regulation No. 2021/2282 on HTA, amending Directive 2011/24/EU, was adopted in the European Union. This Regulation, which went into effect in January 2022 and took effect as of January 2025, is intended to boost cooperation among EU Member States in assessing health technologies, including new medicinal products, and providing the basis for cooperation at European Union level for joint clinical assessments in these areas. The Regulation permits EU Member States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European Union could be negatively affected.</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European Union may continue to propose and implement cost-containing measures to keep healthcare costs down.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European Union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ind w:right="380"/>
        <w:spacing w:after="0" w:line="282" w:lineRule="auto"/>
        <w:rPr>
          <w:sz w:val="20"/>
          <w:szCs w:val="20"/>
          <w:color w:val="auto"/>
        </w:rPr>
      </w:pPr>
      <w:r>
        <w:rPr>
          <w:rFonts w:ascii="Times New Roman" w:cs="Times New Roman" w:eastAsia="Times New Roman" w:hAnsi="Times New Roman"/>
          <w:sz w:val="18"/>
          <w:szCs w:val="18"/>
          <w:color w:val="auto"/>
        </w:rPr>
        <w:t>adapt to changes in existing requirements or the adoption of new requirements or policies, or if we are not able to maintain regulatory compliance, our business could be materially harmed.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impacted by actions of the current U.S. administration, including executive orders, policies, new legislation and judicial decisions.</w:t>
      </w:r>
    </w:p>
    <w:p>
      <w:pPr>
        <w:spacing w:after="0" w:line="24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Actions of the current U.S. administration may cause us to change our business operations, with an unknown impact to our stakeholders, including patients, healthcare providers and employees. Failure to comply with new administration actions could expose us to litigation or other government actions. There can be no assurance that our compliance with new administration actions will provide sufficient mitigation.</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authorities or government-affiliated hospitals, universities, and other organizations.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further expand our operations outside of the United States, we must dedicate additional resources to comply with numerous laws and regulations in each jurisdiction in which we plan to operate. The Foreign Corrupt Practices Act, or the FCPA, prohibits any U.S. individual or business from paying, offering, authorizing payment or offering of anything of value, directly or indirectly, to any foreign official, political party or candidate and other related parties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83" w:name="page84"/>
    <w:bookmarkEnd w:id="8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including from government shutdowns, or funding changes, or other disruptions to these agencies’ operations, could negatively impact our business, operations, regulatory interactions and access to capital.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Significant disruptions to the operations of government agencies, including from prolonged or repeated shutdown of the federal government, could adversely affect our business, financial condition and results of operations. For example, on October 1, 2025, the U.S. government shut down for 43 days, during which time certain regulatory agencies, such as the FDA and the SEC, furloughed certain employees and stopped critical activities. On October 10, 2025, the U.S. government implemented substantial layoffs and workforce reductions in connection with the federal government shutdown, which resulted in the suspension or delay of various government-funded programs.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In the past, average review times at the agency have fluctuated, and this may continue in the future. In addition, government funding of other agencies on which our operations may rely is subject to the political process, which is inherently fluid and unpredictable. In addition, government shutdowns, if prolonged, could significantly impact the ability of government agencies upon which rely (such as the FDA and SEC) to timely review and process our regulatory submissions, which could have a material adverse effect on our business.</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including as a result of reductions in force, significant organizational changes, substantial leadership departures, and policy changes, may slow the time necessary for new product candidates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past decade, the U.S. government has shut down several times, and certain regulatory agencies, such as the FDA and the SEC, have had to furlough critical employees and stop critical activities. The current U.S. administration has taken steps to reduce the number of federal employees by establishing voluntary termination programs, by position eliminations or by involuntary terminations. If funding for the FDA is reduced, if the FDA workforce is reduced, or if government shutdowns reoccur, any of these factors could significantly impact the ability of the FDA to timely review and process our regulatory submissions, which could have a material adverse effect on our business.</w:t>
      </w:r>
    </w:p>
    <w:p>
      <w:pPr>
        <w:spacing w:after="0" w:line="18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Further, a future shutdown of the U.S. federal government could materially impact the operations of the SEC. For example, during the most recent U.S. federal government shutdown, the SEC announced that it would not declare registration statements effective. In the event of a future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future government shutdowns or funding freezes could negatively affect broader business operations and economic conditions and cause delays in or suspension of manufacturing facility and shipping operations, which could adversely affect our clinical trials and supply of product candidates. If these disruptions reoccur or worsen, our business, financial condition, results of operations and ability to execute our strategic plans could be materially and adversely affected.</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as to how the current administration will seek to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and Privacy</w:t>
      </w:r>
    </w:p>
    <w:p>
      <w:pPr>
        <w:spacing w:after="0" w:line="11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upon which we rely, are or were compromised, become unavailable or suffer security breaches, loss or leakage of data or other disruptions, we could suffer material adverse consequences resulting from such compromise,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including, but not limited to, operational or service interruption, harm to our reputation, litigation, fines, penalties and liability, compromise of sensitive information related to our business, and other adverse consequences.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In particular, ransomware attacks, including those from organized criminal threat actors, nation-states and nation-state-supported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Some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products, if approved.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future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security incident has occurred. As such, we may experience delays in developing and deploying remedial measures designed to address any such identified vulnerabilities.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A security breach or privacy violation that leads to disclosure or modification of or prevents access to personal data or other protected information could harm our reputation, compel us to comply with federal and/or state breach notification laws and foreign law equivalents, subject us to mandatory corrective action, require us to verify the correctness of data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Moreover, a security breach that exposes our confidential intellectual property could compromise our patent portfolio. Additionally, theft of our intellectual property or proprietary business information could require substantial</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85" w:name="page86"/>
    <w:bookmarkEnd w:id="85"/>
    <w:p>
      <w:pPr>
        <w:ind w:right="80"/>
        <w:spacing w:after="0" w:line="266" w:lineRule="auto"/>
        <w:rPr>
          <w:sz w:val="20"/>
          <w:szCs w:val="20"/>
          <w:color w:val="auto"/>
        </w:rPr>
      </w:pPr>
      <w:r>
        <w:rPr>
          <w:rFonts w:ascii="Times New Roman" w:cs="Times New Roman" w:eastAsia="Times New Roman" w:hAnsi="Times New Roman"/>
          <w:sz w:val="18"/>
          <w:szCs w:val="18"/>
          <w:color w:val="auto"/>
        </w:rPr>
        <w:t>expenditures to remedy. Even if identified, we may be unable to adequately investigate or remediate incidents or breaches due to attackers increasingly using tools and techniques that are designed to circumvent controls, to avoid detection, and to remove or obfuscate forensic evidence. Regulators have also increased their focus on companies’ cybersecurity vulnerabilities and risks.</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cloud-based infrastructure, encryption and authentication technology, employee email, and other functions. We also rely on third-party service providers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 including clinical trials.</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do not believe that we have experienced any material system failures, accidents or security breaches, we have experienced cybersecurity incidents in the past and expect that we will experience cybersecurity incidents in the future. The procedures and controls we use to monitor these threats and mitigate our exposure may not be sufficient to prevent cybersecurity incidents. If any such incidents were to occur and cause interruptions in our operations, it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data or applications, or inappropriate disclosure of personal, confidential or proprietary information, we could incur liability and the further development of any product candidates could be delayed. Applicable data privacy and security obligations may require us to notify relevant stakeholders of security incidents. Such disclosures are costly, and the disclosure or the failure to comply with such requirements could lead to adverse consequences.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29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and security laws, regulations and other obligations could lead to government enforcement actions (which could include civil or criminal penalties), private litigation, negative publicity, and/or other adverse consequences that could negatively affect our operating results and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and our partners and vendors may be subject to federal, state, and foreign privacy and data protection laws and regulations that impose broad compliance obligations on the collection, possession, use, storage, access, disclosure, transfer, deletion and protection of personal data. In the United States,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data,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and civil penalties if we violate HIPAA. HIPAA </w:t>
      </w:r>
      <w:r>
        <w:rPr>
          <w:rFonts w:ascii="Times New Roman" w:cs="Times New Roman" w:eastAsia="Times New Roman" w:hAnsi="Times New Roman"/>
          <w:sz w:val="18"/>
          <w:szCs w:val="18"/>
          <w:color w:val="231F20"/>
        </w:rPr>
        <w:t>mandates the adoption of uniform standards for the electronic exchange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information in common healthcare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6" w:name="page87"/>
    <w:bookmarkEnd w:id="86"/>
    <w:p>
      <w:pPr>
        <w:ind w:right="40"/>
        <w:spacing w:after="0" w:line="261" w:lineRule="auto"/>
        <w:rPr>
          <w:sz w:val="20"/>
          <w:szCs w:val="20"/>
          <w:color w:val="auto"/>
        </w:rPr>
      </w:pPr>
      <w:r>
        <w:rPr>
          <w:rFonts w:ascii="Times New Roman" w:cs="Times New Roman" w:eastAsia="Times New Roman" w:hAnsi="Times New Roman"/>
          <w:sz w:val="18"/>
          <w:szCs w:val="18"/>
          <w:color w:val="231F20"/>
        </w:rPr>
        <w:t xml:space="preserve">transactions, as well as standards relating to the privacy and security of individually identifiable health information, which require the adoption of administrative, physical and technical safeguards to protect such information. </w:t>
      </w:r>
      <w:r>
        <w:rPr>
          <w:rFonts w:ascii="Times New Roman" w:cs="Times New Roman" w:eastAsia="Times New Roman" w:hAnsi="Times New Roman"/>
          <w:sz w:val="18"/>
          <w:szCs w:val="18"/>
          <w:color w:val="000000"/>
        </w:rPr>
        <w:t>Requirements for compliance under HIPAA are also subject to change, as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U.S. Department of Health and Human Services Office of Civil Rights issued a proposed rule that would amend certain security compliance requirements for covered entities and business associates.</w:t>
      </w:r>
    </w:p>
    <w:p>
      <w:pPr>
        <w:spacing w:after="0" w:line="180" w:lineRule="exact"/>
        <w:rPr>
          <w:sz w:val="20"/>
          <w:szCs w:val="20"/>
          <w:color w:val="auto"/>
        </w:rPr>
      </w:pPr>
    </w:p>
    <w:p>
      <w:pPr>
        <w:ind w:right="200" w:firstLine="509"/>
        <w:spacing w:after="0" w:line="273" w:lineRule="auto"/>
        <w:rPr>
          <w:sz w:val="20"/>
          <w:szCs w:val="20"/>
          <w:color w:val="auto"/>
        </w:rPr>
      </w:pPr>
      <w:r>
        <w:rPr>
          <w:rFonts w:ascii="Times New Roman" w:cs="Times New Roman" w:eastAsia="Times New Roman" w:hAnsi="Times New Roman"/>
          <w:sz w:val="17"/>
          <w:szCs w:val="17"/>
          <w:color w:val="auto"/>
        </w:rPr>
        <w:t>Even when HIPAA does not apply, according to the Federal Trade Commission, or the FTC, failing to take appropriate steps to keep consumers’ personal data secure may constitute unfair acts or practices in or affecting commerce in violation of the FTC Act. The FTC expects a company’s data security measures to be reasonable and appropriate in light of the sensitivity and volume of personal data it holds, the size and complexity of its business, and the cost of available tools to improve security and reduce vulnerabilities. Individually identifiable health information is considered sensitive data that merits stronger safeguards. Additionally, the FTC’s Health Breach Notification Rule applies to health applications and other similar technologies and expanded breach notification requirements, which may add additional complexity to compliance obligations. Further, the SEC implemented rules around incident reporting, requiring cybersecurity incidents to be reported four business days after determining that an incident is material.</w:t>
      </w:r>
    </w:p>
    <w:p>
      <w:pPr>
        <w:spacing w:after="0" w:line="17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U.S. Department of Justice issued a final rule entitled, “Access to U.S. Sensitive Personal Data and Government-Related Data by Countries of Concern or Covered Persons,” codified at 28 CFR part 202, or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Failure to comply with these laws, where applicable, can result in the imposition of significant civil and/or criminal penalties and private litigation. For example, the California Consumer Privacy Act, or the CCPA, revised and amended by the California Privacy Rights Act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protected health information. The CCPA is enforced by the California Privacy Protection Agency, a data protection authority, which has the power to issue substantive regulations resulting in increased privacy and information security enforcement. Additional compliance investment and potential business process changes may be required.</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While California was the first among the states to adopt comprehensive data privacy legislation similar to the GDPR, many other states are following suit, which could increase our potential liability and adversely affect our business. Many states have adopted statewide comprehensive privacy laws and many other states have privacy legislation that is pending. Many of these new state laws contain some type of exemption for information collected under HIPAA and some data processed in the context of clinical trials, either at the entity level or the data level, so the impact might be limited particularly as it relates to protected health information. Some states also have laws that specifically focus on the processing of personal data related to individuals’ health, including California’s Confidentiality of Medical Information Act and Washington’s My Health My Data Act. Changes to federal and state privacy laws may add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94"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right="100"/>
        <w:spacing w:after="0" w:line="266" w:lineRule="auto"/>
        <w:rPr>
          <w:sz w:val="20"/>
          <w:szCs w:val="20"/>
          <w:color w:val="auto"/>
        </w:rPr>
      </w:pPr>
      <w:r>
        <w:rPr>
          <w:rFonts w:ascii="Times New Roman" w:cs="Times New Roman" w:eastAsia="Times New Roman" w:hAnsi="Times New Roman"/>
          <w:sz w:val="18"/>
          <w:szCs w:val="18"/>
          <w:color w:val="auto"/>
        </w:rPr>
        <w:t>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2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Foreign data protection laws, including the European Union’s General Data Protection Regulation, or the EU GDPR, and the UK equivalent of the same, or UK GDPR, may also apply to our processing of health-related and other personal data regardless of where the processing in question is carried out.</w:t>
      </w:r>
    </w:p>
    <w:p>
      <w:pPr>
        <w:spacing w:after="0" w:line="6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 GDPR in the EEA and the UK GDPR in the United Kingdom, together the GDPR, impose stringent requirements for controllers and processors of personal data of individuals within the European Economic Area, or EEA, or the United Kingdom. The GDPR applies to any company established in the EEA or United Kingdom as well as to those outside the EEA or United Kingdom if they collect and use personal data in connection with the offering of goods or services to individuals in the EEA or United Kingdom or the monitoring of their behavior. The GDPR, together with national legislation, regulations and guidelines of the EEA Member States and the United Kingdom governing the processing of personal data, imposes strict obligations and restrictions on the ability to collect, analyze and transfer personal data, including health data from clinical trials and adverse event reporting and access to certain data such as the European Health Data Space Regulation.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spacing w:after="0" w:line="19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EEA, the NIS 2 Directive, or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become subject to NIS 2 in the future, we may require additional investment of our resources in compliance programs. Under NIS 2, companies may be subject to administrative fines of up to the higher amount of €10 million or 2% of worldwide turnover.</w:t>
      </w:r>
    </w:p>
    <w:p>
      <w:pPr>
        <w:spacing w:after="0" w:line="1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class-action-type litigation. While we have taken steps to comply with the GDPR where applicable, including by reviewing our security procedures, engaging data protection personnel, and entering into data processing agreements with relevant contractors, our efforts to achieve and remain in compliance may not be fully successful.</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Certain jurisdictions, including the EEA, have enacted laws and regulations governing cross-border personal information transfer and providing for data localization in certain cases. For example, absent appropriate safeguards or other circumstances, the GDPR and laws in the UK generally restrict the transfer of personal information to countries outside the EEA and the UK, such as the United States. Such safeguards include the use of standard contractual clauses approved by the European Commission and the UK Data Protection Authority as well as the EU-U.S. Data Privacy Framework. If we 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spacing w:after="0" w:line="254" w:lineRule="auto"/>
        <w:rPr>
          <w:sz w:val="20"/>
          <w:szCs w:val="20"/>
          <w:color w:val="auto"/>
        </w:rPr>
      </w:pPr>
      <w:r>
        <w:rPr>
          <w:rFonts w:ascii="Times New Roman" w:cs="Times New Roman" w:eastAsia="Times New Roman" w:hAnsi="Times New Roman"/>
          <w:sz w:val="18"/>
          <w:szCs w:val="18"/>
          <w:color w:val="auto"/>
        </w:rPr>
        <w:t>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and the UK will likely also arise in other jurisdictions that adopt laws similar to the GDPR or regulatory frameworks of equivalent complexity.</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or AI,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generative AI tools into our systems for specific use cases reviewed by legal and information security.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ineffective or inadequate AI development or deployment practices could result in unintended consequences. For example, AI algorithms we may use in connection with our operations may be flawed or based on datasets that are biased or insufficient, potentially leading to errors in our business processes. Disruption or failure in AI functionality could adversely affect our business, cause delays or inaccuracies in our offerings, or harm our reputation. Conversely, 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Compliance with new or changing laws, regulations, or industry standards relating to AI may impose significant operational and financial burdens and may limit our ability to develop, deploy, or use AI technologies in our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as well as investigator-initiated trials. If those third parties do not perform as contractually required, fail to satisfy legal or regulatory requirements, miss expected deadlines or terminate the relationship, our development programs could be delayed, or become more costly or unsuccessful, and we may never be able to seek or obtain regulatory approval for or commercialize our product candidates.</w:t>
      </w:r>
    </w:p>
    <w:p>
      <w:pPr>
        <w:spacing w:after="0" w:line="7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In addition, third parties are conducting and we expect will continue to conduct investigator-initiated trials with our product candidates. Because we currently rely and intend to continue to rely on these third parties, we will have less control over the timing, quality and other aspects of preclinical studies and clinical trials than we would have had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 experience as a company in filing and supporting the applications necessary to gain marketing approvals. 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and expect to continue to rely, on third-party contract developers and manufacturers to manufacture drug substances, drug products, raw materials, samples, components, and other materials for our product candidates. For example, under the MAT Agreement, MAT provides us with certain customized cell manufacturing, release and testing services for our miv-cel product candidate; under the Elevate Agreement, we engaged Elevate in November 2024 to provide us with cell manufacturing, release and testing-services for our miv-cel product candidate; and pursuant to the Oxford Agreement, we engaged Oxford to undertake lentiviral vector process development services, with the intention for Oxford to ultimately manufacture and supply to us lentiviral vectors for research and development purposes and for use in connection with our clinical trials.</w:t>
      </w:r>
    </w:p>
    <w:p>
      <w:pPr>
        <w:spacing w:after="0" w:line="18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any replacement of our manufacturer could require significant effort and time because there may be a limited number of qualified replacements.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EMA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and, in certain cases, current good tissue practice, or cGTP, requirements. Securing marketing approval also requires the submission of information about the product manufacturing process to, and inspection of manufacturing facilities by, the FDA, EMA and foreign regulatory authorities. If our CMOs cannot successfully manufacture material that conforms to our specifications and the strict regulatory requirements of the FDA, EMA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In the event that any of our manufacturers fails to comply with such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w:t>
      </w:r>
    </w:p>
    <w:p>
      <w:pPr>
        <w:spacing w:after="0" w:line="19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These factors would increase our reliance on such manufacturer or require us to obtain a license from such manufacturer in order to enable us to manufacture, or to have another third party manufacture, our product candidates. If we are required to change manufacturers for any reason, we will be required to verify that the new manufacturer maintains facilities and procedures that comply with applicable quality standards and regulations and guidelines; and we may be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91" w:name="page92"/>
    <w:bookmarkEnd w:id="91"/>
    <w:p>
      <w:pPr>
        <w:ind w:right="200"/>
        <w:spacing w:after="0" w:line="282" w:lineRule="auto"/>
        <w:rPr>
          <w:sz w:val="20"/>
          <w:szCs w:val="20"/>
          <w:color w:val="auto"/>
        </w:rPr>
      </w:pPr>
      <w:r>
        <w:rPr>
          <w:rFonts w:ascii="Times New Roman" w:cs="Times New Roman" w:eastAsia="Times New Roman" w:hAnsi="Times New Roman"/>
          <w:sz w:val="18"/>
          <w:szCs w:val="18"/>
          <w:color w:val="auto"/>
        </w:rPr>
        <w:t>required to repeat some of the development program. The delays and costs associated with the verification of a new manufacturer could negatively affect our ability to develop product candidates in a timely manner or within budget.</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Under recent legislation, certain third-party manufacturers and other third parties (frequently China-based companies) may be considered a “biotechnology company of concern.” If a third-party manufacturer receives such a designation, it may restrict the ability of U.S. companies like us to purchase services or products from, collaborate with, or otherwise work with such manufacturers. For example, it may delay the procurement or supply of such material or have an adverse effect on our ability to secure significant commitments from governments to purchase our potential therapies. Such disruption could have adverse effects on the development of our product candidates.</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our product candidates, or to do so on commercially reasonable terms, we may not be able to develop and commercialize our product candidates successfully. Our or a third party’s failure to execute on our manufacturing requirements, comply with cGMPs and cGTPs, or maintain a compliance status acceptable to the FDA, EMA or foreign regulatory authorities could adversely affect our business in a number of ways, including:</w:t>
      </w:r>
    </w:p>
    <w:p>
      <w:pPr>
        <w:spacing w:after="0" w:line="80"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existing or future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actions against our manufacturers or us, including fines and civil, criminal and administrative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False Claims Act, corporate integrity agreements, consent decrees, or withdrawal of product approval.</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if approved, would be jeopardized. For example, the current U.S. administration has substantially altered prior U.S. government international trade policy and has commenced activities to renegotiate, or potentially terminate, certain existing bilateral or multi-lateral trade agreements and treaties with foreign countries. In addition, the current U.S. administration has initiated and continues to consider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 increase the cost of materials purchased to manufacture our product candidates.</w:t>
      </w:r>
    </w:p>
    <w:p>
      <w:pPr>
        <w:spacing w:after="0" w:line="29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limited source suppliers for certain drug substances, drug products, raw materials, samples, components, and other materials used in our product candidates. If we are unable to source these supplies on a timely basis, or establish longer-term contracts with our CMOs, we will not be able to complete our clinical trials on time and the development of our product candidates may be delayed.</w:t>
      </w:r>
    </w:p>
    <w:p>
      <w:pPr>
        <w:spacing w:after="0" w:line="6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depend on limited source suppliers for certain drug substances, drug products, raw materials, samples, components, and other materials used in our product candidates. For example, MAT and Elevate are currently our only providers of customized cell manufacturing, release and testing services for our miv-cel product candidate. We do not currently have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2" w:name="page93"/>
    <w:bookmarkEnd w:id="92"/>
    <w:p>
      <w:pPr>
        <w:ind w:right="40"/>
        <w:spacing w:after="0" w:line="254" w:lineRule="auto"/>
        <w:rPr>
          <w:sz w:val="20"/>
          <w:szCs w:val="20"/>
          <w:color w:val="auto"/>
        </w:rPr>
      </w:pPr>
      <w:r>
        <w:rPr>
          <w:rFonts w:ascii="Times New Roman" w:cs="Times New Roman" w:eastAsia="Times New Roman" w:hAnsi="Times New Roman"/>
          <w:sz w:val="18"/>
          <w:szCs w:val="18"/>
          <w:color w:val="auto"/>
        </w:rPr>
        <w:t>long-term supply contracts with all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in the future as we advance our clinical trials or commercialization plans,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utilize the drug products that we are required to purchase. Any change in our relationships with our CMOs or changes to contractual terms of our agreements with them could adversely affect our business, financial condition, results of operations and prospects.</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produce insufficient quantities of our supplies or otherwise fail to meet contractual requirements, experience financial difficulties, cease operations, face business disruptions or be acquired by, or enter into exclusive arrangements with, our competitors. In addition, geopolitical tensions may impact our CMOs.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sole source or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19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Currently, some of our suppliers are located outside of the United States. As a result of our global suppliers, we are subject to risks associated with doing business abroad, including:</w:t>
      </w:r>
    </w:p>
    <w:p>
      <w:pPr>
        <w:spacing w:after="0" w:line="54" w:lineRule="exact"/>
        <w:rPr>
          <w:sz w:val="20"/>
          <w:szCs w:val="20"/>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cGTPs or status acceptable to the FDA, EMA or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collaborations or strategic alliances or enter into additional licensing arrangements in the future, which may be important to our business. If we are unable to enter into new collaborations, or if these or any of our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collaborations are not successful and we fail to realize the benefits of such collaborations or licensing arrangements, our business, results of operations and financial condition could be adversely affected.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we deem appropriate, enter into additional partnerships in the future, including potentially with major biotechnology or pharmaceutical companies. We have limited capabilities for product development and do not yet have any capability for commercialization. Accordingly, we may continue to enter into collaborations with other companies in the future to provide us with important technologies and funding for our programs and technology. Any future collaborations that we enter into may not be successful. The success of our collaboration arrangements will depend heavily on the efforts and activities of our collaborators.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collaborations and any future collaborations we enter into may pose a number of risks, including the following:</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31" w:lineRule="exact"/>
        <w:rPr>
          <w:rFonts w:ascii="Times New Roman" w:cs="Times New Roman" w:eastAsia="Times New Roman" w:hAnsi="Times New Roman"/>
          <w:sz w:val="17"/>
          <w:szCs w:val="17"/>
          <w:color w:val="auto"/>
        </w:rPr>
      </w:pPr>
    </w:p>
    <w:p>
      <w:pPr>
        <w:ind w:left="1020" w:right="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seek to amend or modify the terms of any collaboration;</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4" w:name="page95"/>
    <w:bookmarkEnd w:id="94"/>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future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future commercialization of the applicable product candidates.</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under such collaboration. All of the risks relating to product development, regulatory approval and future commercialization described in this “Risk Factors” section and elsewhere in this Quarterly Report on Form 10-Q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In order for us to successfully partner with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results of operations and financial condition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common stock is volatile and could fluctuate widely in response to many factors, including but not limited to:</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product candidates, including the results of clinical trials by us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5" w:name="page96"/>
    <w:bookmarkEnd w:id="95"/>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with respect to our product candidates, or similar products or product candidates with which we compete;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collaborations, licenses or similar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(or losses) meet or exceed such estimates;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or issuances by us of shares of our common stock in connection with strategic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that may impact the operation of our business, including changes in the structure of healthcare payment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section titled “Risk Factors.”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experienced volatility in our stock price. For example, from January 1, 2025 to December 31, 2025, our closing stock price ranged from $1.83 to $10.82 per share, and from January 1, 2026 to March 31, 2026, our closing stock price ranged from $7.26 to $10.51 per share. When the market price of a stock has been volatile, as our stock price has been, holders of that stock have occasionally brought securities class action litigation claims against the company that issued the stock. If any of our stockholders were to bring a lawsuit of this type against us, even if the lawsuit were without merit, we could incur substantial costs defending the lawsuit. The lawsuit could also divert the time and attention of our management. See the risk factor under the heading “We or our directors or officers may be subject to securities litigation, which is expensive and could divert management attention” above for a discussion of a securities class action complaint in which we are currently named as a defendant.</w:t>
      </w:r>
    </w:p>
    <w:p>
      <w:pPr>
        <w:spacing w:after="0" w:line="29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5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5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clinical trials;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existing license and collaboration arrangements or the termination or modification thereof;</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acquisitions, collaborations, licenses or similar arrangements, and the timing and amount of payments we may make or receive in connection with such transactions;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28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and forecasts of market growth may not be accurate, and the actual market for our products may be smaller than we estimate, and even if the markets in which we compete achieve the forecasted growth, our business may not grow at similar rates, or at all.</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all of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Under the Loan and Security Agreement, we are prohibited from paying any dividends without the prior written consent of Oxford Finance.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would dilute our share capital.</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other equity securities or the availability of common stock for future sales will have on the trading price of our common stock.</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our 2024 Equity Incentive Plan, or our 2024 Plan, our management is authorized to grant stock options to our employees, directors and consultants. As of March 31, 2026, we had 4,145,126 shares of common stock available for future issuance under our 2024 Plan. Additionally, the number of shares of our common stock reserved for issuance under the 2024 Plan will automatically increase on January 1st of each year, continuing through and including January 1, 2034, by 5% of the total number of shares of our capital stock outstanding on December 31 of the preceding calendar year, or a lesser number of shares determined by our board of directors. In accordance with the foregoing, on January 1, 2026, an aggregate of 3,019,494 shares of our common stock were added to the reserve of shares available for future issuance under the 2024 Plan. Additionally, pursuant to our Amended and Restated 2024 Inducement Equity Incentive Plan, or our Inducement Plan, our management is authorized to grant equity-based awards in the form of stock options, stock appreciation rights, restricted stock, restricted stock units, performance units and performance shares solely to our prospective employees provided that certain criteria are met. As of March 31, 2026, we had 895,741 shares of common stock available for future issuance under our Inducement Plan. Unless our board of directors or a committee thereof elects not to increase the number of shares available for future grant each year under the 2024 Plan or Inducement Plan, our stockholders may experience additional dilution, which could cause our stock price to fall.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without stockholder approval.</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29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investments in other companies or technologies that could negatively affect our operating results, dilute our stockholders’ ownership, increase our debt or cause us to incur significant expense.</w:t>
      </w:r>
    </w:p>
    <w:p>
      <w:pPr>
        <w:spacing w:after="0" w:line="51" w:lineRule="exact"/>
        <w:rPr>
          <w:sz w:val="20"/>
          <w:szCs w:val="20"/>
          <w:color w:val="auto"/>
        </w:rPr>
      </w:pPr>
    </w:p>
    <w:p>
      <w:pPr>
        <w:jc w:val="both"/>
        <w:ind w:right="520" w:firstLine="509"/>
        <w:spacing w:after="0" w:line="282"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potential acquisition or strategic partnership may entail numerous risks, including:</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contractual obligations or contingent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8" w:name="page99"/>
    <w:bookmarkEnd w:id="98"/>
    <w:p>
      <w:pPr>
        <w:ind w:left="1020" w:right="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To finance such a transaction, we may issue dilutive securities, assume or incur debt obligations, incur large one-time expenses and acquire intangible assets that could result in significant amortization expense.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80" w:firstLine="554"/>
        <w:spacing w:after="0" w:line="243" w:lineRule="auto"/>
        <w:rPr>
          <w:sz w:val="20"/>
          <w:szCs w:val="20"/>
          <w:color w:val="auto"/>
        </w:rPr>
      </w:pPr>
      <w:r>
        <w:rPr>
          <w:rFonts w:ascii="Times New Roman" w:cs="Times New Roman" w:eastAsia="Times New Roman" w:hAnsi="Times New Roman"/>
          <w:sz w:val="18"/>
          <w:szCs w:val="18"/>
          <w:color w:val="auto"/>
        </w:rPr>
        <w:t>On March 26, 2026, we filed a shelf Registration Statement on Form S-3 (File No. 333-294645), or the 2026 Shelf Registration Statement, that became effective on April 2, 2026 and allows us to undertake various equity and debt offerings for an aggregate amount of up to $300.0 million. In addition, on March 27, 2025,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or the Agent, pursuant to which we may offer and sell from time to time through the Agent up to $100.0 million in shares of our common stock pursuant to the 2026 Shelf Registration Statement, or the ATM Prospectus. As of May 1, 2026, $100.0 million remains allocated and available under the ATM Prospectus and $200.0 million remains available and unallocated under the 2026 Shelf Registration Statement.</w:t>
      </w:r>
    </w:p>
    <w:p>
      <w:pPr>
        <w:spacing w:after="0" w:line="9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shares of our common stock that are subject to outstanding options under our equity incentive plans are eligible for sale in the public market, to the extent permitted by the provisions of various vesting schedules, the lock-up agreements (and the exceptions thereto) and Rule 144 and Rule 701 under the Securities Act of 1933, as amended, or the Securities Act. If these additional shares of our common stock are sold, or if it is perceived that they will be sold, in the public market, the trading price of our common stock could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some members of our board of directors are representatives of our principal stockholders.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2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May 1, 2026, our executive officers, directors and holders of 5% or more of our capital stock beneficially owned approximately 40.5% of our outstanding common stock. The interests of these stockholders may not be the same as or may even conflict with your interests. For example, these stockholders could delay or prevent a change of control of our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9" w:name="page100"/>
    <w:bookmarkEnd w:id="99"/>
    <w:p>
      <w:pPr>
        <w:ind w:right="320"/>
        <w:spacing w:after="0" w:line="261" w:lineRule="auto"/>
        <w:rPr>
          <w:sz w:val="20"/>
          <w:szCs w:val="20"/>
          <w:color w:val="auto"/>
        </w:rPr>
      </w:pPr>
      <w:r>
        <w:rPr>
          <w:rFonts w:ascii="Times New Roman" w:cs="Times New Roman" w:eastAsia="Times New Roman" w:hAnsi="Times New Roman"/>
          <w:sz w:val="18"/>
          <w:szCs w:val="18"/>
          <w:color w:val="auto"/>
        </w:rPr>
        <w:t>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or Section 404, reduced disclosure obligations regarding executive compensation in our Annual Reports on Form 10-K and our other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and reduced disclosure obligations regarding executive compensation in our Annual Reports on Form 10-K and our other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93"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68" w:lineRule="exact"/>
        <w:rPr>
          <w:sz w:val="20"/>
          <w:szCs w:val="20"/>
          <w:color w:val="auto"/>
        </w:rPr>
      </w:pPr>
    </w:p>
    <w:p>
      <w:pPr>
        <w:ind w:left="1020" w:right="1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staggered board of directors divided into three classes serving staggered three-year terms, such that not all members of our board of directors will be elected at one time;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fill vacancies on our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our annual stockholder meetings;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amended and restated bylaws;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can remove directors only for cause and only upon the approval of not less than 66-2/3% of all outstanding shares of our capital stock;</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66-2/3% of all outstanding shares of our capital stock to amend our amended and restated bylaws and specific provisions of our amended and restated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jurisdictions in which certain stockholder litigation may be brought.</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Section 203 of General Corporation Law of the State of Delaware, or the DGCL, may discourage, delay or prevent a change in control of our company. Section 203 imposes certain restrictions on mergers, business combinations and other transactions between us and holders of 15% or more of our common stock.</w:t>
      </w:r>
    </w:p>
    <w:p>
      <w:pPr>
        <w:spacing w:after="0" w:line="2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another state court or the federal court located within the State of Delaware if the Court of Chancery does not have or declines to accept jurisdiction) shall be the sole and exclusive forum, in all cases subject to the court’s having jurisdiction over indispensable parties named as defendants, for: (i) any derivative action or proceeding brought on our behalf; (ii) any action asserting a breach of fiduciary duty owed to us or our stockholders by any director, officer or other employee; (iii) any action asserting a claim against us or any director, officer or other employee arising pursuant to the DGCL; (iv) any action to interpret, apply, enforce or determine the validity of our amended and restated certificate of incorporation or amended and restated bylaws; or (v) any other action asserting a claim that is governed by the internal affairs doctrine. In addition, our amended and restated certificate of incorporation provides that the federal district courts of the United States are the exclusive forum for resolving any complaint asserting a cause of action arising under the Securities Act but that the exclusive forum provision does not apply to claims brought to enforce a duty or liability created by the Exchange Act.</w:t>
      </w:r>
    </w:p>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ind w:right="40"/>
        <w:spacing w:after="0" w:line="261" w:lineRule="auto"/>
        <w:rPr>
          <w:sz w:val="20"/>
          <w:szCs w:val="20"/>
          <w:color w:val="auto"/>
        </w:rPr>
      </w:pPr>
      <w:r>
        <w:rPr>
          <w:rFonts w:ascii="Times New Roman" w:cs="Times New Roman" w:eastAsia="Times New Roman" w:hAnsi="Times New Roman"/>
          <w:sz w:val="18"/>
          <w:szCs w:val="18"/>
          <w:color w:val="auto"/>
        </w:rPr>
        <w:t>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thereunder.</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5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common stock.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 While we would strongly defend against any such short seller attacks, we may be constrained in the manner in which we can proceed against the relevant short seller by applicable state law or issues of commercial confidentiality. Such a situation could be costly and time-consuming, and could be distracting for our management team. Additionally, such allegations against us could negatively impact our business operations and stockholders' equity, and the value of any investment in our stock could be reduced.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right="8080" w:hanging="512"/>
        <w:spacing w:after="0" w:line="375" w:lineRule="auto"/>
        <w:tabs>
          <w:tab w:leader="none" w:pos="266"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Initial Public Offering</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February 12, 2024, we closed the IPO, pursuant to which we issued and sold 16,675,000 shares of common stock, which included the exercise in full by the underwriters of their option to purchase 2,175,000 additional shares, at an initial public offering price of $22.00 per share.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offer and sale of all of the shares of our common stock in the IPO were registered under the Securities Act pursuant to a registration statement on Form S-1 (File No. 333-276523), which was declared effective by the SEC on February 7, 2024. Following the sale of the above shares, the offering terminated. J.P. Morgan, Morgan Stanley, Leerink Partners and Wells Fargo Securities acted as joint book-running managers.</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received aggregate gross proceeds from the IPO of $366.9 million, or aggregate net proceeds of $336.2 million, inclusive of the full exercise by the underwriters of their option to purchase additional shares, after deducting underwriting discounts and commissions and estimated other offering costs totaling $30.7 million.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the IPO as described in our final prospectus filed pursuant to Rule 424(b)(4) under the Securities Act with the SEC on February 8,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Issuer Repurchases of Equity Securities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408(a) of Regulation S-K.</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900" w:type="dxa"/>
            <w:vAlign w:val="bottom"/>
            <w:gridSpan w:val="9"/>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3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Amended and Restated Certificate of Incorporation of Kyverna Therapeutics, Inc. (incorporated by reference to Exhibit 3.1 to the</w:t>
              </w:r>
            </w:hyperlink>
          </w:p>
        </w:tc>
        <w:tc>
          <w:tcPr>
            <w:tcW w:w="7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Registrant’s Current Report on Form 8-K filed with the SEC on February 12,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Amended and Restated Bylaws of Kyverna Therapeutics, Inc. (incorporated by reference to Exhibit 3.2 to the Registrant’s Current Report</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on Form 8-K filed with the SEC on February 12,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0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Common Stock Certificate (incorporated by reference to Exhibit 4.1 to the Registrant’s Registration Statement on Form S-1 (File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No. 333-276523) filed with the SEC on January 16,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Employment Offer Letter, dated January 13, 2026, between Kyverna Therapeutics, Inc. and Mayo Pujols.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680" w:type="dxa"/>
            <w:vAlign w:val="bottom"/>
            <w:gridSpan w:val="4"/>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2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or 15d-14(a) under the Securities Exchange Act of 1934.</w:t>
            </w:r>
          </w:p>
        </w:tc>
        <w:tc>
          <w:tcPr>
            <w:tcW w:w="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15d-14(a) under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280" w:type="dxa"/>
            <w:vAlign w:val="bottom"/>
            <w:tcBorders>
              <w:right w:val="single" w:sz="8" w:color="0000EE"/>
            </w:tcBorders>
            <w:gridSpan w:val="5"/>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0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280" w:firstLine="8"/>
        <w:spacing w:after="0" w:line="372" w:lineRule="auto"/>
        <w:tabs>
          <w:tab w:leader="none" w:pos="113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9030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KYVERNA THERAPEUTICS, INC.</w:t>
      </w:r>
    </w:p>
    <w:p>
      <w:pPr>
        <w:spacing w:after="0" w:line="229" w:lineRule="exact"/>
        <w:rPr>
          <w:sz w:val="20"/>
          <w:szCs w:val="20"/>
          <w:color w:val="auto"/>
        </w:rPr>
      </w:pPr>
    </w:p>
    <w:p>
      <w:pPr>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Principal Executive Officer</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5640" w:val="left"/>
          <w:tab w:leader="none" w:pos="808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Marc Grasso</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Principal Financial and Accounting Officer</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9" w:right="77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859915" cy="5918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18599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January 13, 2026</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Mayo Pujols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via email to […***…]</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Employment Terms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Dear Mayo:</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Kyverna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is pleased to offer you employment beginning on February 9, 2026 (the “</w:t>
      </w:r>
      <w:r>
        <w:rPr>
          <w:rFonts w:ascii="Arial" w:cs="Arial" w:eastAsia="Arial" w:hAnsi="Arial"/>
          <w:sz w:val="20"/>
          <w:szCs w:val="20"/>
          <w:b w:val="1"/>
          <w:bCs w:val="1"/>
          <w:i w:val="1"/>
          <w:iCs w:val="1"/>
          <w:color w:val="auto"/>
        </w:rPr>
        <w:t>Start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provided, however, if your employment does not commence on the Start Date, this letter shall be null and void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without force or effect.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Your position will be Chief Technology Officer of the Company with responsibilities, duties, and authority as usual and customary for such position, reporting to the Company’s Chief Executive Officer and Executive Chairperson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You will work on a hybrid (remote and Company office) basis. The Company may change your position, duties, and work location from time to time in its discretion, subject to the severance protections outlined below.</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While you are employed by the Company, you will (i) devote your full business time, energy and skill to the performance of your duties for the Company and (ii) hold no other employment or consulting positions, unless you receive written consent from the Board in advance. Notwithstanding the foregoing, you shall be entitled to engage in (a) service on the board of directors of two for-profit companies, businesses or trade organizations, provided that you shall not serve on the board of any entity that competes with the Company, as determined by the Board, (b) service on the board of directors of not-for-profit organizations, (c) other charitable activities and community affairs, and (d) management of your personal and family investments and affairs, in each case to the extent such activities do not, either individually or in the aggregate, materially interfere with the performance of your duties and responsibilities to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and Benefits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Your initial base salary will be paid at the rate of $485,000 per year, less payroll deductions and withholdings, paid on the Company’s normal payroll schedule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The Compensation Committee of the Board (the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review your Base Salary not less than annually.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ind w:left="100"/>
              <w:spacing w:after="0"/>
              <w:rPr>
                <w:sz w:val="20"/>
                <w:szCs w:val="20"/>
                <w:color w:val="auto"/>
              </w:rPr>
            </w:pPr>
            <w:r>
              <w:rPr>
                <w:rFonts w:ascii="Arial" w:cs="Arial" w:eastAsia="Arial" w:hAnsi="Arial"/>
                <w:sz w:val="16"/>
                <w:szCs w:val="16"/>
                <w:b w:val="1"/>
                <w:bCs w:val="1"/>
                <w:color w:val="72DE60"/>
              </w:rPr>
              <w:t>Kyverna Therapeutics, Inc.</w:t>
            </w:r>
          </w:p>
        </w:tc>
        <w:tc>
          <w:tcPr>
            <w:tcW w:w="3780" w:type="dxa"/>
            <w:vAlign w:val="bottom"/>
          </w:tcPr>
          <w:p>
            <w:pPr>
              <w:ind w:left="840"/>
              <w:spacing w:after="0"/>
              <w:rPr>
                <w:sz w:val="20"/>
                <w:szCs w:val="20"/>
                <w:color w:val="auto"/>
              </w:rPr>
            </w:pPr>
            <w:r>
              <w:rPr>
                <w:rFonts w:ascii="Arial" w:cs="Arial" w:eastAsia="Arial" w:hAnsi="Arial"/>
                <w:sz w:val="16"/>
                <w:szCs w:val="16"/>
                <w:color w:val="auto"/>
              </w:rPr>
              <w:t>5980 Horton Street, Suite 550</w:t>
            </w:r>
          </w:p>
        </w:tc>
        <w:tc>
          <w:tcPr>
            <w:tcW w:w="4440" w:type="dxa"/>
            <w:vAlign w:val="bottom"/>
          </w:tcPr>
          <w:p>
            <w:pPr>
              <w:ind w:left="800"/>
              <w:spacing w:after="0"/>
              <w:rPr>
                <w:sz w:val="20"/>
                <w:szCs w:val="20"/>
                <w:color w:val="auto"/>
              </w:rPr>
            </w:pPr>
            <w:r>
              <w:rPr>
                <w:rFonts w:ascii="Arial" w:cs="Arial" w:eastAsia="Arial" w:hAnsi="Arial"/>
                <w:sz w:val="16"/>
                <w:szCs w:val="16"/>
                <w:color w:val="auto"/>
              </w:rPr>
              <w:t>hello@kyvernatx.com</w:t>
            </w:r>
          </w:p>
        </w:tc>
      </w:tr>
      <w:tr>
        <w:trPr>
          <w:trHeight w:val="215"/>
        </w:trPr>
        <w:tc>
          <w:tcPr>
            <w:tcW w:w="3020" w:type="dxa"/>
            <w:vAlign w:val="bottom"/>
          </w:tcPr>
          <w:p>
            <w:pPr>
              <w:spacing w:after="0"/>
              <w:rPr>
                <w:sz w:val="18"/>
                <w:szCs w:val="18"/>
                <w:color w:val="auto"/>
              </w:rPr>
            </w:pPr>
          </w:p>
        </w:tc>
        <w:tc>
          <w:tcPr>
            <w:tcW w:w="3780" w:type="dxa"/>
            <w:vAlign w:val="bottom"/>
          </w:tcPr>
          <w:p>
            <w:pPr>
              <w:ind w:left="840"/>
              <w:spacing w:after="0"/>
              <w:rPr>
                <w:sz w:val="20"/>
                <w:szCs w:val="20"/>
                <w:color w:val="auto"/>
              </w:rPr>
            </w:pPr>
            <w:r>
              <w:rPr>
                <w:rFonts w:ascii="Arial" w:cs="Arial" w:eastAsia="Arial" w:hAnsi="Arial"/>
                <w:sz w:val="16"/>
                <w:szCs w:val="16"/>
                <w:color w:val="auto"/>
              </w:rPr>
              <w:t>Emeryville, CA 94608</w:t>
            </w:r>
          </w:p>
        </w:tc>
        <w:tc>
          <w:tcPr>
            <w:tcW w:w="4440" w:type="dxa"/>
            <w:vAlign w:val="bottom"/>
          </w:tcPr>
          <w:p>
            <w:pPr>
              <w:ind w:left="800"/>
              <w:spacing w:after="0"/>
              <w:rPr>
                <w:sz w:val="20"/>
                <w:szCs w:val="20"/>
                <w:color w:val="auto"/>
              </w:rPr>
            </w:pPr>
            <w:r>
              <w:rPr>
                <w:rFonts w:ascii="Arial" w:cs="Arial" w:eastAsia="Arial" w:hAnsi="Arial"/>
                <w:sz w:val="16"/>
                <w:szCs w:val="16"/>
                <w:color w:val="auto"/>
              </w:rPr>
              <w:t>kyvernatx.com</w:t>
            </w:r>
          </w:p>
        </w:tc>
      </w:tr>
      <w:tr>
        <w:trPr>
          <w:trHeight w:val="967"/>
        </w:trPr>
        <w:tc>
          <w:tcPr>
            <w:tcW w:w="30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6" w:name="page107"/>
    <w:bookmarkEnd w:id="106"/>
    <w:p>
      <w:pPr>
        <w:jc w:val="both"/>
        <w:spacing w:after="0" w:line="224" w:lineRule="exact"/>
        <w:rPr>
          <w:sz w:val="20"/>
          <w:szCs w:val="20"/>
          <w:color w:val="auto"/>
        </w:rPr>
      </w:pPr>
      <w:r>
        <w:rPr>
          <w:rFonts w:ascii="Arial" w:cs="Arial" w:eastAsia="Arial" w:hAnsi="Arial"/>
          <w:sz w:val="20"/>
          <w:szCs w:val="20"/>
          <w:color w:val="auto"/>
        </w:rPr>
        <w:t>You will also be eligible for an incentive bonus for each fiscal year of the Company that you are employed. Whether you receive a bonus and the amount of any such bonus will be determined by the Compensation Committee in good</w:t>
      </w:r>
      <w:r>
        <w:rPr>
          <w:rFonts w:ascii="MS PGothic" w:cs="MS PGothic" w:eastAsia="MS PGothic" w:hAnsi="MS PGothic"/>
          <w:sz w:val="20"/>
          <w:szCs w:val="20"/>
          <w:color w:val="auto"/>
        </w:rPr>
        <w:t>‐</w:t>
      </w:r>
      <w:r>
        <w:rPr>
          <w:rFonts w:ascii="Arial" w:cs="Arial" w:eastAsia="Arial" w:hAnsi="Arial"/>
          <w:sz w:val="20"/>
          <w:szCs w:val="20"/>
          <w:color w:val="auto"/>
        </w:rPr>
        <w:t>faith based on criteria determined by the Compensation Committee in its discretion. Your target bonus will be equal to 40% of your annual Base Salary, although the actual amount of any such bonus may be more or less than such amount based on the determination of the Compensation Committee; provided that, for the initial calendar year of employment, you shall receive a pro-rated bonus, subject to your continued employment through payment. The Company will pay you your bonus for any one year no later than March 15th of the following calendar year, less payroll deductions and withholdings. The bonus is not earned until paid and no portion of the bonus will be paid if your employment terminates for any reason prior to the payment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Program</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Subject to approval by the Board of Directors, you will be eligible to participate in the Company’s Annual Equity program which offers a portfolio approach of both Restricted Stock Units (RSUs) and Stock Options, in accordance with the following 2026 proration schedule based on hire date:</w:t>
      </w:r>
    </w:p>
    <w:p>
      <w:pPr>
        <w:spacing w:after="0" w:line="185"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Hire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-142240</wp:posOffset>
            </wp:positionV>
            <wp:extent cx="3921760" cy="158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3921760" cy="158115"/>
                    </a:xfrm>
                    <a:prstGeom prst="rect">
                      <a:avLst/>
                    </a:prstGeom>
                    <a:noFill/>
                  </pic:spPr>
                </pic:pic>
              </a:graphicData>
            </a:graphic>
          </wp:anchor>
        </w:drawing>
      </w:r>
    </w:p>
    <w:tbl>
      <w:tblPr>
        <w:tblLayout w:type="fixed"/>
        <w:tblInd w:w="2150" w:type="dxa"/>
        <w:tblCellMar>
          <w:top w:w="0" w:type="dxa"/>
          <w:left w:w="0" w:type="dxa"/>
          <w:bottom w:w="0" w:type="dxa"/>
          <w:right w:w="0" w:type="dxa"/>
        </w:tblCellMar>
      </w:tblPr>
      <w:tr>
        <w:trPr>
          <w:trHeight w:val="213"/>
        </w:trPr>
        <w:tc>
          <w:tcPr>
            <w:tcW w:w="1660" w:type="dxa"/>
            <w:vAlign w:val="bottom"/>
            <w:tcBorders>
              <w:top w:val="single" w:sz="8" w:color="auto"/>
              <w:left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Q1</w:t>
            </w:r>
          </w:p>
        </w:tc>
        <w:tc>
          <w:tcPr>
            <w:tcW w:w="1500" w:type="dxa"/>
            <w:vAlign w:val="bottom"/>
            <w:tcBorders>
              <w:top w:val="single" w:sz="8" w:color="auto"/>
              <w:bottom w:val="single" w:sz="8" w:color="auto"/>
              <w:right w:val="single" w:sz="8" w:color="auto"/>
            </w:tcBorders>
          </w:tcPr>
          <w:p>
            <w:pPr>
              <w:ind w:left="80"/>
              <w:spacing w:after="0" w:line="213" w:lineRule="exact"/>
              <w:rPr>
                <w:sz w:val="20"/>
                <w:szCs w:val="20"/>
                <w:color w:val="auto"/>
              </w:rPr>
            </w:pPr>
            <w:r>
              <w:rPr>
                <w:rFonts w:ascii="Arial" w:cs="Arial" w:eastAsia="Arial" w:hAnsi="Arial"/>
                <w:sz w:val="20"/>
                <w:szCs w:val="20"/>
                <w:color w:val="auto"/>
              </w:rPr>
              <w:t>Q2</w:t>
            </w:r>
          </w:p>
        </w:tc>
        <w:tc>
          <w:tcPr>
            <w:tcW w:w="1620" w:type="dxa"/>
            <w:vAlign w:val="bottom"/>
            <w:tcBorders>
              <w:top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Q3</w:t>
            </w:r>
          </w:p>
        </w:tc>
        <w:tc>
          <w:tcPr>
            <w:tcW w:w="1400" w:type="dxa"/>
            <w:vAlign w:val="bottom"/>
            <w:tcBorders>
              <w:top w:val="single" w:sz="8" w:color="auto"/>
              <w:bottom w:val="single" w:sz="8" w:color="auto"/>
              <w:right w:val="single" w:sz="8" w:color="auto"/>
            </w:tcBorders>
          </w:tcPr>
          <w:p>
            <w:pPr>
              <w:ind w:left="100"/>
              <w:spacing w:after="0" w:line="213" w:lineRule="exact"/>
              <w:rPr>
                <w:sz w:val="20"/>
                <w:szCs w:val="20"/>
                <w:color w:val="auto"/>
              </w:rPr>
            </w:pPr>
            <w:r>
              <w:rPr>
                <w:rFonts w:ascii="Arial" w:cs="Arial" w:eastAsia="Arial" w:hAnsi="Arial"/>
                <w:sz w:val="20"/>
                <w:szCs w:val="20"/>
                <w:color w:val="auto"/>
              </w:rPr>
              <w:t>Q4</w:t>
            </w:r>
          </w:p>
        </w:tc>
      </w:tr>
      <w:tr>
        <w:trPr>
          <w:trHeight w:val="210"/>
        </w:trPr>
        <w:tc>
          <w:tcPr>
            <w:tcW w:w="16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100%</w:t>
            </w:r>
          </w:p>
        </w:tc>
        <w:tc>
          <w:tcPr>
            <w:tcW w:w="150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i w:val="1"/>
                <w:iCs w:val="1"/>
                <w:color w:val="auto"/>
              </w:rPr>
              <w:t>75%</w:t>
            </w:r>
          </w:p>
        </w:tc>
        <w:tc>
          <w:tcPr>
            <w:tcW w:w="16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50%</w:t>
            </w:r>
          </w:p>
        </w:tc>
        <w:tc>
          <w:tcPr>
            <w:tcW w:w="140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i w:val="1"/>
                <w:iCs w:val="1"/>
                <w:color w:val="auto"/>
              </w:rPr>
              <w:t>50%</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Sign-on Bonus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will be eligible to receive a sign-on bonus in the amount of $150,000, subject to applicable withholding, to be paid no later than the second regularly scheduled Company payroll date that occurs on or after the Start Date. In the event your employment terminates as a result of your voluntary resignation prior to the first anniversary of the Start Date, you agree to repay the $150,000 sign-on bonus.</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During your employment, you will be eligible to participate in the benefits plans offered to similarly situated employees of the Company, subject to the terms of the applicable plan and generally applicable Company policies. The Company currently offers its employees the following benefits: medical insurance coverage, dental, vision, disability, and life insurance, as well as other benefits for which you will be eligible effective on your date of hire. You also will be eligible to participate in the Company’s 401K plan. Our 401(k) plan has an automatic enrollment feature designed to help eligible employees save for retirement. The default rate of automatic enrollment is 4% pretax. Additional information is shared as part of your onboarding process as well as during your new hire orientation.</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Currently, the Company has a flexible vacation policy for exempt employees. Vacation hours are not allotted or accrued, and there is no “unused” vacation time to be carried over from one year to the next nor paid out upon termination. Vacation time off can be taken as needed. The Company also provides pre-set paid holidays each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full description of current benefits is available for your review. The Company may change compensation and benefits from time to time in its discretion, subject to the severance protections outlined below.</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Company will reimburse all reasonable business expenses that are documented by you and incurred in the ordinary course of business in accordance with the Company’s standard policies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7" w:name="page108"/>
    <w:bookmarkEnd w:id="107"/>
    <w:p>
      <w:pPr>
        <w:jc w:val="both"/>
        <w:spacing w:after="0" w:line="223" w:lineRule="exact"/>
        <w:rPr>
          <w:sz w:val="20"/>
          <w:szCs w:val="20"/>
          <w:color w:val="auto"/>
        </w:rPr>
      </w:pPr>
      <w:r>
        <w:rPr>
          <w:rFonts w:ascii="Arial" w:cs="Arial" w:eastAsia="Arial" w:hAnsi="Arial"/>
          <w:sz w:val="20"/>
          <w:szCs w:val="20"/>
          <w:color w:val="auto"/>
        </w:rPr>
        <w:t>As soon as practicable following your Start Date, the Company will grant you a nonstatutory option to purchase 300,000 shares of the Company’s common stock, with an exercise price equal to the closing price of the Company’s common stock on the date of grant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The Option will be granted pursuant to, and governed by, the Company’s Inducement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standard form of option agreement used pursuant to the Plan. The Option will vest with respect to 25% of the Option shares on the 12</w:t>
      </w:r>
      <w:r>
        <w:rPr>
          <w:rFonts w:ascii="MS PGothic" w:cs="MS PGothic" w:eastAsia="MS PGothic" w:hAnsi="MS PGothic"/>
          <w:sz w:val="20"/>
          <w:szCs w:val="20"/>
          <w:color w:val="auto"/>
        </w:rPr>
        <w:t>‐</w:t>
      </w:r>
      <w:r>
        <w:rPr>
          <w:rFonts w:ascii="Arial" w:cs="Arial" w:eastAsia="Arial" w:hAnsi="Arial"/>
          <w:sz w:val="20"/>
          <w:szCs w:val="20"/>
          <w:color w:val="auto"/>
        </w:rPr>
        <w:t>month anniversary of your Start Date, and as to the balance in equal monthly installments over the next 36 months, subject to your Continuous Service (as defined in the Plan) as of each such date but with the vesting acceleration set forth in the Severance section below. In addition, with respect to each calendar year during your employment with the Company following the year in which the Start Date occurs, you shall be eligible to receive annual equity awards under the Plan or any successor plan, as determined by the Board in its sole discretion.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Confidential Information and Company Policies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As a Company employee, you will be expected to abide by Company rules and policies. As a condition of employment, you must sign and comply with the Employee Confidential Information and Inventions Assignment Agreement,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which prohibits unauthorized use or disclosure of the Company’s proprietary information, among other obligations.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By signing this letter,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140" w:lineRule="exact"/>
        <w:rPr>
          <w:sz w:val="20"/>
          <w:szCs w:val="20"/>
          <w:color w:val="auto"/>
        </w:rPr>
      </w:pPr>
    </w:p>
    <w:p>
      <w:pPr>
        <w:spacing w:after="0" w:line="230" w:lineRule="exact"/>
        <w:rPr>
          <w:sz w:val="20"/>
          <w:szCs w:val="20"/>
          <w:color w:val="auto"/>
        </w:rPr>
      </w:pPr>
      <w:r>
        <w:rPr>
          <w:rFonts w:ascii="Arial" w:cs="Arial" w:eastAsia="Arial" w:hAnsi="Arial"/>
          <w:sz w:val="20"/>
          <w:szCs w:val="20"/>
          <w:b w:val="1"/>
          <w:bCs w:val="1"/>
          <w:color w:val="auto"/>
        </w:rPr>
        <w:t>At</w:t>
      </w:r>
      <w:r>
        <w:rPr>
          <w:rFonts w:ascii="MS PGothic" w:cs="MS PGothic" w:eastAsia="MS PGothic" w:hAnsi="MS PGothic"/>
          <w:sz w:val="20"/>
          <w:szCs w:val="20"/>
          <w:color w:val="auto"/>
          <w:strike w:val="1"/>
        </w:rPr>
        <w:t>‐</w:t>
      </w:r>
      <w:r>
        <w:rPr>
          <w:rFonts w:ascii="Arial" w:cs="Arial" w:eastAsia="Arial" w:hAnsi="Arial"/>
          <w:sz w:val="20"/>
          <w:szCs w:val="20"/>
          <w:b w:val="1"/>
          <w:bCs w:val="1"/>
          <w:color w:val="auto"/>
        </w:rPr>
        <w:t>Will Employment and Exempt Status</w:t>
      </w:r>
    </w:p>
    <w:p>
      <w:pPr>
        <w:spacing w:after="0" w:line="216" w:lineRule="exact"/>
        <w:rPr>
          <w:sz w:val="20"/>
          <w:szCs w:val="20"/>
          <w:color w:val="auto"/>
        </w:rPr>
      </w:pPr>
    </w:p>
    <w:p>
      <w:pPr>
        <w:jc w:val="both"/>
        <w:spacing w:after="0" w:line="234" w:lineRule="exact"/>
        <w:rPr>
          <w:sz w:val="20"/>
          <w:szCs w:val="20"/>
          <w:color w:val="auto"/>
        </w:rPr>
      </w:pPr>
      <w:r>
        <w:rPr>
          <w:rFonts w:ascii="Arial" w:cs="Arial" w:eastAsia="Arial" w:hAnsi="Arial"/>
          <w:sz w:val="19"/>
          <w:szCs w:val="19"/>
          <w:color w:val="auto"/>
        </w:rPr>
        <w:t>Your employment with the Company will be “at</w:t>
      </w:r>
      <w:r>
        <w:rPr>
          <w:rFonts w:ascii="MS PGothic" w:cs="MS PGothic" w:eastAsia="MS PGothic" w:hAnsi="MS PGothic"/>
          <w:sz w:val="19"/>
          <w:szCs w:val="19"/>
          <w:color w:val="auto"/>
        </w:rPr>
        <w:t>‐</w:t>
      </w:r>
      <w:r>
        <w:rPr>
          <w:rFonts w:ascii="Arial" w:cs="Arial" w:eastAsia="Arial" w:hAnsi="Arial"/>
          <w:sz w:val="19"/>
          <w:szCs w:val="19"/>
          <w:color w:val="auto"/>
        </w:rPr>
        <w:t>will.” You may terminate your employment with the Company at any time and for any reason whatsoever simply by notifying the Company. Likewise, the Company may terminate your employment at any time, with or without cause or advance notice. Your employment at</w:t>
      </w:r>
      <w:r>
        <w:rPr>
          <w:rFonts w:ascii="MS PGothic" w:cs="MS PGothic" w:eastAsia="MS PGothic" w:hAnsi="MS PGothic"/>
          <w:sz w:val="19"/>
          <w:szCs w:val="19"/>
          <w:color w:val="auto"/>
        </w:rPr>
        <w:t>‐</w:t>
      </w:r>
      <w:r>
        <w:rPr>
          <w:rFonts w:ascii="Arial" w:cs="Arial" w:eastAsia="Arial" w:hAnsi="Arial"/>
          <w:sz w:val="19"/>
          <w:szCs w:val="19"/>
          <w:color w:val="auto"/>
        </w:rPr>
        <w:t>will status can only be modified in a written agreement signed by you and by an officer of the Company. You agree that, unless you and the Company agree otherwise, the termination of your employment shall be treated as your resignation from all positions you hold with the Company and its affiliates, and you agree to execute any letter of resignation consistent with the foregoing that the Company reasonably requests.</w:t>
      </w:r>
    </w:p>
    <w:p>
      <w:pPr>
        <w:spacing w:after="0" w:line="141" w:lineRule="exact"/>
        <w:rPr>
          <w:sz w:val="20"/>
          <w:szCs w:val="20"/>
          <w:color w:val="auto"/>
        </w:rPr>
      </w:pPr>
    </w:p>
    <w:p>
      <w:pPr>
        <w:jc w:val="both"/>
        <w:ind w:right="20"/>
        <w:spacing w:after="0" w:line="262" w:lineRule="exact"/>
        <w:rPr>
          <w:sz w:val="20"/>
          <w:szCs w:val="20"/>
          <w:color w:val="auto"/>
        </w:rPr>
      </w:pPr>
      <w:r>
        <w:rPr>
          <w:rFonts w:ascii="Arial" w:cs="Arial" w:eastAsia="Arial" w:hAnsi="Arial"/>
          <w:sz w:val="20"/>
          <w:szCs w:val="20"/>
          <w:color w:val="auto"/>
        </w:rPr>
        <w:t>As a full</w:t>
      </w:r>
      <w:r>
        <w:rPr>
          <w:rFonts w:ascii="MS PGothic" w:cs="MS PGothic" w:eastAsia="MS PGothic" w:hAnsi="MS PGothic"/>
          <w:sz w:val="20"/>
          <w:szCs w:val="20"/>
          <w:color w:val="auto"/>
        </w:rPr>
        <w:t>‐</w:t>
      </w:r>
      <w:r>
        <w:rPr>
          <w:rFonts w:ascii="Arial" w:cs="Arial" w:eastAsia="Arial" w:hAnsi="Arial"/>
          <w:sz w:val="20"/>
          <w:szCs w:val="20"/>
          <w:color w:val="auto"/>
        </w:rPr>
        <w:t>time exempt salaried employee, you will be expected to work the Company’s normal business hours as well as additional hours as required by the nature of your work assignments, and you will not be entitled to overtime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at any time, the Company terminates your employment for Cause, or if you resign without Good Reason, or your employment terminates as a result of your death or disability, you will receive your Base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8" w:name="page109"/>
    <w:bookmarkEnd w:id="108"/>
    <w:p>
      <w:pPr>
        <w:jc w:val="both"/>
        <w:spacing w:after="0" w:line="257" w:lineRule="auto"/>
        <w:rPr>
          <w:sz w:val="20"/>
          <w:szCs w:val="20"/>
          <w:color w:val="auto"/>
        </w:rPr>
      </w:pPr>
      <w:r>
        <w:rPr>
          <w:rFonts w:ascii="Arial" w:cs="Arial" w:eastAsia="Arial" w:hAnsi="Arial"/>
          <w:sz w:val="20"/>
          <w:szCs w:val="20"/>
          <w:color w:val="auto"/>
        </w:rPr>
        <w:t>Salary accrued through the last day of your employment. Under these circumstances, you will not be entitled to any other form of compensation from the Company, including severance benefits.</w:t>
      </w:r>
    </w:p>
    <w:p>
      <w:pPr>
        <w:spacing w:after="0" w:line="155" w:lineRule="exact"/>
        <w:rPr>
          <w:sz w:val="20"/>
          <w:szCs w:val="20"/>
          <w:color w:val="auto"/>
        </w:rPr>
      </w:pPr>
    </w:p>
    <w:p>
      <w:pPr>
        <w:jc w:val="both"/>
        <w:spacing w:after="0" w:line="230" w:lineRule="exact"/>
        <w:rPr>
          <w:sz w:val="20"/>
          <w:szCs w:val="20"/>
          <w:color w:val="auto"/>
        </w:rPr>
      </w:pPr>
      <w:r>
        <w:rPr>
          <w:rFonts w:ascii="Arial" w:cs="Arial" w:eastAsia="Arial" w:hAnsi="Arial"/>
          <w:sz w:val="20"/>
          <w:szCs w:val="20"/>
          <w:color w:val="auto"/>
        </w:rPr>
        <w:t>If the Company terminates your employment without Cause, or you resign for Good Reason, and other than as a result of your death or disability, and provided such termination constitutes a “separation from service” (as defined under Treasury Regulation Section 1.409A</w:t>
      </w:r>
      <w:r>
        <w:rPr>
          <w:rFonts w:ascii="MS PGothic" w:cs="MS PGothic" w:eastAsia="MS PGothic" w:hAnsi="MS PGothic"/>
          <w:sz w:val="20"/>
          <w:szCs w:val="20"/>
          <w:color w:val="auto"/>
        </w:rPr>
        <w:t>‐</w:t>
      </w:r>
      <w:r>
        <w:rPr>
          <w:rFonts w:ascii="Arial" w:cs="Arial" w:eastAsia="Arial" w:hAnsi="Arial"/>
          <w:sz w:val="20"/>
          <w:szCs w:val="20"/>
          <w:color w:val="auto"/>
        </w:rPr>
        <w:t>1(h), without regard to any alternative definition thereunder, a “</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then subject to your obligations below, you shall be entitled to receive the following severance benefits:</w:t>
      </w:r>
    </w:p>
    <w:p>
      <w:pPr>
        <w:spacing w:after="0" w:line="141" w:lineRule="exact"/>
        <w:rPr>
          <w:sz w:val="20"/>
          <w:szCs w:val="20"/>
          <w:color w:val="auto"/>
        </w:rPr>
      </w:pPr>
    </w:p>
    <w:p>
      <w:pPr>
        <w:jc w:val="both"/>
        <w:ind w:left="760" w:hanging="378"/>
        <w:spacing w:after="0" w:line="229" w:lineRule="exact"/>
        <w:tabs>
          <w:tab w:leader="none" w:pos="760" w:val="left"/>
        </w:tabs>
        <w:numPr>
          <w:ilvl w:val="0"/>
          <w:numId w:val="49"/>
        </w:numPr>
        <w:rPr>
          <w:rFonts w:ascii="Calibri" w:cs="Calibri" w:eastAsia="Calibri" w:hAnsi="Calibri"/>
          <w:sz w:val="20"/>
          <w:szCs w:val="20"/>
          <w:color w:val="auto"/>
        </w:rPr>
      </w:pPr>
      <w:r>
        <w:rPr>
          <w:rFonts w:ascii="Arial" w:cs="Arial" w:eastAsia="Arial" w:hAnsi="Arial"/>
          <w:sz w:val="20"/>
          <w:szCs w:val="20"/>
          <w:color w:val="auto"/>
        </w:rPr>
        <w:t>an amount equal to 12 months of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less all applicable withholdings and deductions, paid over such 12</w:t>
      </w:r>
      <w:r>
        <w:rPr>
          <w:rFonts w:ascii="MS PGothic" w:cs="MS PGothic" w:eastAsia="MS PGothic" w:hAnsi="MS PGothic"/>
          <w:sz w:val="20"/>
          <w:szCs w:val="20"/>
          <w:color w:val="auto"/>
        </w:rPr>
        <w:t>‐</w:t>
      </w:r>
      <w:r>
        <w:rPr>
          <w:rFonts w:ascii="Arial" w:cs="Arial" w:eastAsia="Arial" w:hAnsi="Arial"/>
          <w:sz w:val="20"/>
          <w:szCs w:val="20"/>
          <w:color w:val="auto"/>
        </w:rPr>
        <w:t>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spacing w:after="0" w:line="173" w:lineRule="exact"/>
        <w:rPr>
          <w:rFonts w:ascii="Calibri" w:cs="Calibri" w:eastAsia="Calibri" w:hAnsi="Calibri"/>
          <w:sz w:val="20"/>
          <w:szCs w:val="20"/>
          <w:color w:val="auto"/>
        </w:rPr>
      </w:pPr>
    </w:p>
    <w:p>
      <w:pPr>
        <w:jc w:val="both"/>
        <w:ind w:left="760" w:hanging="378"/>
        <w:spacing w:after="0" w:line="223" w:lineRule="exact"/>
        <w:tabs>
          <w:tab w:leader="none" w:pos="760" w:val="left"/>
        </w:tabs>
        <w:numPr>
          <w:ilvl w:val="0"/>
          <w:numId w:val="49"/>
        </w:numPr>
        <w:rPr>
          <w:rFonts w:ascii="Calibri" w:cs="Calibri" w:eastAsia="Calibri" w:hAnsi="Calibri"/>
          <w:sz w:val="19"/>
          <w:szCs w:val="19"/>
          <w:color w:val="auto"/>
        </w:rPr>
      </w:pPr>
      <w:r>
        <w:rPr>
          <w:rFonts w:ascii="Arial" w:cs="Arial" w:eastAsia="Arial" w:hAnsi="Arial"/>
          <w:sz w:val="19"/>
          <w:szCs w:val="19"/>
          <w:color w:val="auto"/>
        </w:rPr>
        <w:t>if you timely elect continued coverage under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then the Company shall pay the entire COBRA premiums necessary to continue your health insurance coverage in effect for yourself and your eligible dependents on the termination date until the earliest of (A) the close of the 12</w:t>
      </w:r>
      <w:r>
        <w:rPr>
          <w:rFonts w:ascii="MS PGothic" w:cs="MS PGothic" w:eastAsia="MS PGothic" w:hAnsi="MS PGothic"/>
          <w:sz w:val="19"/>
          <w:szCs w:val="19"/>
          <w:color w:val="auto"/>
        </w:rPr>
        <w:t>‐</w:t>
      </w:r>
      <w:r>
        <w:rPr>
          <w:rFonts w:ascii="Arial" w:cs="Arial" w:eastAsia="Arial" w:hAnsi="Arial"/>
          <w:sz w:val="19"/>
          <w:szCs w:val="19"/>
          <w:color w:val="auto"/>
        </w:rPr>
        <w:t>month period following the termination of your employment, (B) the expiration of your eligibility for the continuation coverage under COBRA, and (C)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Notwithstanding the foregoing, If the Separation from Service occurs within twelve (12) months following a Change in Control (as defined in the Company’s 2024 Equity Incentive Plan), then you shall instead be entitled to receive the following severance benefits:</w:t>
      </w:r>
    </w:p>
    <w:p>
      <w:pPr>
        <w:spacing w:after="0" w:line="138" w:lineRule="exact"/>
        <w:rPr>
          <w:sz w:val="20"/>
          <w:szCs w:val="20"/>
          <w:color w:val="auto"/>
        </w:rPr>
      </w:pPr>
    </w:p>
    <w:p>
      <w:pPr>
        <w:ind w:left="840" w:hanging="368"/>
        <w:spacing w:after="0" w:line="245" w:lineRule="exact"/>
        <w:tabs>
          <w:tab w:leader="none" w:pos="840" w:val="left"/>
        </w:tabs>
        <w:numPr>
          <w:ilvl w:val="1"/>
          <w:numId w:val="50"/>
        </w:numPr>
        <w:rPr>
          <w:rFonts w:ascii="Calibri" w:cs="Calibri" w:eastAsia="Calibri" w:hAnsi="Calibri"/>
          <w:sz w:val="20"/>
          <w:szCs w:val="20"/>
          <w:color w:val="auto"/>
        </w:rPr>
      </w:pPr>
      <w:r>
        <w:rPr>
          <w:rFonts w:ascii="Arial" w:cs="Arial" w:eastAsia="Arial" w:hAnsi="Arial"/>
          <w:sz w:val="20"/>
          <w:szCs w:val="20"/>
          <w:color w:val="auto"/>
        </w:rPr>
        <w:t>for a period of 15 months, an amount per month equal to 1/12th of the sum of (a)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plus</w:t>
      </w:r>
    </w:p>
    <w:p>
      <w:pPr>
        <w:spacing w:after="0" w:line="49" w:lineRule="exact"/>
        <w:rPr>
          <w:rFonts w:ascii="Calibri" w:cs="Calibri" w:eastAsia="Calibri" w:hAnsi="Calibri"/>
          <w:sz w:val="20"/>
          <w:szCs w:val="20"/>
          <w:color w:val="auto"/>
        </w:rPr>
      </w:pPr>
    </w:p>
    <w:p>
      <w:pPr>
        <w:jc w:val="both"/>
        <w:ind w:left="840" w:firstLine="6"/>
        <w:spacing w:after="0" w:line="219" w:lineRule="exact"/>
        <w:tabs>
          <w:tab w:leader="none" w:pos="1157" w:val="left"/>
        </w:tabs>
        <w:numPr>
          <w:ilvl w:val="2"/>
          <w:numId w:val="50"/>
        </w:numPr>
        <w:rPr>
          <w:rFonts w:ascii="Arial" w:cs="Arial" w:eastAsia="Arial" w:hAnsi="Arial"/>
          <w:sz w:val="20"/>
          <w:szCs w:val="20"/>
          <w:color w:val="auto"/>
        </w:rPr>
      </w:pPr>
      <w:r>
        <w:rPr>
          <w:rFonts w:ascii="Arial" w:cs="Arial" w:eastAsia="Arial" w:hAnsi="Arial"/>
          <w:sz w:val="20"/>
          <w:szCs w:val="20"/>
          <w:color w:val="auto"/>
        </w:rPr>
        <w:t>your pro-rated bonus at target, less all applicable withholdings and deductions, paid over such 15</w:t>
      </w:r>
      <w:r>
        <w:rPr>
          <w:rFonts w:ascii="MS PGothic" w:cs="MS PGothic" w:eastAsia="MS PGothic" w:hAnsi="MS PGothic"/>
          <w:sz w:val="20"/>
          <w:szCs w:val="20"/>
          <w:color w:val="auto"/>
        </w:rPr>
        <w:t>‐</w:t>
      </w:r>
      <w:r>
        <w:rPr>
          <w:rFonts w:ascii="Arial" w:cs="Arial" w:eastAsia="Arial" w:hAnsi="Arial"/>
          <w:sz w:val="20"/>
          <w:szCs w:val="20"/>
          <w:color w:val="auto"/>
        </w:rPr>
        <w:t>month period.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 and</w:t>
      </w:r>
    </w:p>
    <w:p>
      <w:pPr>
        <w:spacing w:after="0" w:line="178" w:lineRule="exact"/>
        <w:rPr>
          <w:rFonts w:ascii="Arial" w:cs="Arial" w:eastAsia="Arial" w:hAnsi="Arial"/>
          <w:sz w:val="20"/>
          <w:szCs w:val="20"/>
          <w:color w:val="auto"/>
        </w:rPr>
      </w:pPr>
    </w:p>
    <w:p>
      <w:pPr>
        <w:ind w:left="760" w:right="20" w:hanging="378"/>
        <w:spacing w:after="0" w:line="243" w:lineRule="auto"/>
        <w:tabs>
          <w:tab w:leader="none" w:pos="760" w:val="left"/>
        </w:tabs>
        <w:numPr>
          <w:ilvl w:val="0"/>
          <w:numId w:val="51"/>
        </w:numPr>
        <w:rPr>
          <w:rFonts w:ascii="Calibri" w:cs="Calibri" w:eastAsia="Calibri" w:hAnsi="Calibri"/>
          <w:sz w:val="20"/>
          <w:szCs w:val="20"/>
          <w:color w:val="auto"/>
        </w:rPr>
      </w:pPr>
      <w:r>
        <w:rPr>
          <w:rFonts w:ascii="Arial" w:cs="Arial" w:eastAsia="Arial" w:hAnsi="Arial"/>
          <w:sz w:val="20"/>
          <w:szCs w:val="20"/>
          <w:color w:val="auto"/>
        </w:rPr>
        <w:t>if you timely elect continued coverage under COBRA, then the Company shall pay the entire COBRA premiums necessary to continue your health insurance coverage in effect for yourself and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9" w:name="page110"/>
    <w:bookmarkEnd w:id="109"/>
    <w:p>
      <w:pPr>
        <w:ind w:left="760"/>
        <w:spacing w:after="0" w:line="249" w:lineRule="exact"/>
        <w:rPr>
          <w:sz w:val="20"/>
          <w:szCs w:val="20"/>
          <w:color w:val="auto"/>
        </w:rPr>
      </w:pPr>
      <w:r>
        <w:rPr>
          <w:rFonts w:ascii="Arial" w:cs="Arial" w:eastAsia="Arial" w:hAnsi="Arial"/>
          <w:sz w:val="20"/>
          <w:szCs w:val="20"/>
          <w:color w:val="auto"/>
        </w:rPr>
        <w:t>your eligible dependents on the termination date until the earliest of (A) the close of the 15</w:t>
      </w:r>
      <w:r>
        <w:rPr>
          <w:rFonts w:ascii="MS PGothic" w:cs="MS PGothic" w:eastAsia="MS PGothic" w:hAnsi="MS PGothic"/>
          <w:sz w:val="20"/>
          <w:szCs w:val="20"/>
          <w:color w:val="auto"/>
        </w:rPr>
        <w:t>‐</w:t>
      </w:r>
      <w:r>
        <w:rPr>
          <w:rFonts w:ascii="Arial" w:cs="Arial" w:eastAsia="Arial" w:hAnsi="Arial"/>
          <w:sz w:val="20"/>
          <w:szCs w:val="20"/>
          <w:color w:val="auto"/>
        </w:rPr>
        <w:t>month period following the termination of your employment, (B) the expiration of your eligibility for the continuation coverage under COBRA, and</w:t>
      </w:r>
    </w:p>
    <w:p>
      <w:pPr>
        <w:jc w:val="both"/>
        <w:ind w:left="760" w:hanging="4"/>
        <w:spacing w:after="0" w:line="232" w:lineRule="auto"/>
        <w:tabs>
          <w:tab w:leader="none" w:pos="1108"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p>
    <w:p>
      <w:pPr>
        <w:spacing w:after="0" w:line="172" w:lineRule="exact"/>
        <w:rPr>
          <w:rFonts w:ascii="Arial" w:cs="Arial" w:eastAsia="Arial" w:hAnsi="Arial"/>
          <w:sz w:val="20"/>
          <w:szCs w:val="20"/>
          <w:color w:val="auto"/>
        </w:rPr>
      </w:pPr>
    </w:p>
    <w:p>
      <w:pPr>
        <w:jc w:val="both"/>
        <w:ind w:left="760" w:hanging="378"/>
        <w:spacing w:after="0" w:line="233" w:lineRule="auto"/>
        <w:tabs>
          <w:tab w:leader="none" w:pos="760" w:val="left"/>
        </w:tabs>
        <w:numPr>
          <w:ilvl w:val="0"/>
          <w:numId w:val="53"/>
        </w:numPr>
        <w:rPr>
          <w:rFonts w:ascii="Calibri" w:cs="Calibri" w:eastAsia="Calibri" w:hAnsi="Calibri"/>
          <w:sz w:val="20"/>
          <w:szCs w:val="20"/>
          <w:color w:val="auto"/>
        </w:rPr>
      </w:pPr>
      <w:r>
        <w:rPr>
          <w:rFonts w:ascii="Arial" w:cs="Arial" w:eastAsia="Arial" w:hAnsi="Arial"/>
          <w:sz w:val="20"/>
          <w:szCs w:val="20"/>
          <w:color w:val="auto"/>
        </w:rPr>
        <w:t>In addition, any service-based vesting requirements with respect to your then-outstanding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Your receipt of the severance benefits set forth herein is conditional upon (a) your continuing to comply with your obligations under your Employee Confidential Information and Invention Assignment Agreement; and (b) your delivering to the Company a general release of claims in favor of the Company and its affiliates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(but with any change the Company may reasonably request to reflect changes in applicable law) that becomes effective and irrevocable within 60 days following your termination date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(a) your material breach of any agreement between you and the Company which breach, if curable (as determined by the Board), is not cured within thirty (30) days after your receipt of written notice from the Board; (b) your material failure to comply with the Company’s written policies or rules which failure, if curable (as determined by the Board), is not cured within thirty (30) days after your receipt of written notice from the Board; (c) your conviction of, or your plea of “guilty” or “no contest” to, a felony; (d) your gross misconduct which is materially and demonstrably injurious to the Company; (e) your continuing failure to undertake good faith efforts to perform assigned duties that are consistent with your position (other than any such failure resulting from incapacity due to physical or mental illness) after receiving written notification of the failure from the Board and, if curable (as determined by the Board), a 30-day opportunity to cure such failure and a reasonable opportunity to present to the Board your position regarding any dispute relating to the existence of such failure; (f) your failure to cooperate in good faith with a governmental or internal investigation of the Company or its directors, officers or employees, if the Company has requested your cooperation; or (g) any intentional act that has a material detrimental effect on the Company’s reputation or business, unless such action was taken with the expectation that such action was in the Company’s best interests.</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that any of the following actions are taken by the Company without your consent: (a) a material reduction in your Base Salary (other than a reduction generally applicable to employees of the Company who are similarly situated with you), which, for this purpose, means a decrease by more than 10%; (b) a material diminution of your title, authority, duties, or responsibilities in effect immediately prior to the change; provided, however, that a reduction in your authority, duties or responsibilities solely by virtue of the Company undergoing a Change in Control and being made part of a larger entity or group of entities, such that you retain substantially similar or greater authority, duties and responsibilities with respect to the entity, division or business unit that constitutes the Company’s business following a Change in Control, shall not constitute Good Reason; (c) a relocation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10" w:name="page111"/>
    <w:bookmarkEnd w:id="110"/>
    <w:p>
      <w:pPr>
        <w:jc w:val="both"/>
        <w:spacing w:after="0" w:line="231" w:lineRule="exact"/>
        <w:rPr>
          <w:sz w:val="20"/>
          <w:szCs w:val="20"/>
          <w:color w:val="auto"/>
        </w:rPr>
      </w:pPr>
      <w:r>
        <w:rPr>
          <w:rFonts w:ascii="Arial" w:cs="Arial" w:eastAsia="Arial" w:hAnsi="Arial"/>
          <w:sz w:val="20"/>
          <w:szCs w:val="20"/>
          <w:color w:val="auto"/>
        </w:rPr>
        <w:t>of your principal work location that increases your one</w:t>
      </w:r>
      <w:r>
        <w:rPr>
          <w:rFonts w:ascii="MS PGothic" w:cs="MS PGothic" w:eastAsia="MS PGothic" w:hAnsi="MS PGothic"/>
          <w:sz w:val="20"/>
          <w:szCs w:val="20"/>
          <w:color w:val="auto"/>
        </w:rPr>
        <w:t>‐</w:t>
      </w:r>
      <w:r>
        <w:rPr>
          <w:rFonts w:ascii="Arial" w:cs="Arial" w:eastAsia="Arial" w:hAnsi="Arial"/>
          <w:sz w:val="20"/>
          <w:szCs w:val="20"/>
          <w:color w:val="auto"/>
        </w:rPr>
        <w:t xml:space="preserve">way commute by at least 50 miles; or (d) you being required to report to another person other than the Board or the Company’s Chief Executive Officer. To resign for Good Reason, all of the following requirements must be satisfied: (1) you must provide notice to the Company of your intent to assert Good Reason within 30 days of the initial existence of one or more of the conditions set forth in subclauses (a) through (d) above; (2) the Company will have 30 days (the </w:t>
      </w:r>
      <w:r>
        <w:rPr>
          <w:rFonts w:ascii="Arial" w:cs="Arial" w:eastAsia="Arial" w:hAnsi="Arial"/>
          <w:sz w:val="20"/>
          <w:szCs w:val="20"/>
          <w:b w:val="1"/>
          <w:bCs w:val="1"/>
          <w:i w:val="1"/>
          <w:iCs w:val="1"/>
          <w:color w:val="auto"/>
        </w:rPr>
        <w:t>“Company Cure Period”</w:t>
      </w:r>
      <w:r>
        <w:rPr>
          <w:rFonts w:ascii="Arial" w:cs="Arial" w:eastAsia="Arial" w:hAnsi="Arial"/>
          <w:sz w:val="20"/>
          <w:szCs w:val="20"/>
          <w:color w:val="auto"/>
        </w:rPr>
        <w:t>) from the date of such notice to remedy the condition; and (3) your resignation must occur within 30 days after the expiration of the Company Cure Period.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409A</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20"/>
          <w:szCs w:val="20"/>
          <w:color w:val="auto"/>
        </w:rPr>
        <w:t>The payments and benefits under this Agreement are intended to qualify for exemptions from the application of Section 409A of the Internal Revenue Code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this Agreement will be construed to the greatest extent possible as consistent with those provisions, and to the extent not so exempt, this Agreement (and any definitions hereunder) will be construed in a manner that complies with Section 409A to the extent necessary to avoid adverse taxation under Section 409A.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Your right to receive any installment payments will be treated as a right to receive a series of separate payments and, accordingly, each installment payment shall at all times be considered a separate and distinct payment. Notwithstanding any provision to the contrary in this Agreement, if you are deemed by the Company at the time of your Separation from Service to be a “specified employee” for purposes of Section 409A,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 and the related adverse taxation under Section 409A, such payments shall not be provided to you prior to the earliest of (a) the expiration of the six</w:t>
      </w:r>
      <w:r>
        <w:rPr>
          <w:rFonts w:ascii="MS PGothic" w:cs="MS PGothic" w:eastAsia="MS PGothic" w:hAnsi="MS PGothic"/>
          <w:sz w:val="20"/>
          <w:szCs w:val="20"/>
          <w:color w:val="auto"/>
        </w:rPr>
        <w:t>‐</w:t>
      </w:r>
      <w:r>
        <w:rPr>
          <w:rFonts w:ascii="Arial" w:cs="Arial" w:eastAsia="Arial" w:hAnsi="Arial"/>
          <w:sz w:val="20"/>
          <w:szCs w:val="20"/>
          <w:color w:val="auto"/>
        </w:rPr>
        <w:t>month period measured from the date of Separation from Service, (b) the date of your death or (c) such earlier date as permitted under Section 409A without the imposition of adverse taxation. With respect to reimbursements or in</w:t>
      </w:r>
      <w:r>
        <w:rPr>
          <w:rFonts w:ascii="MS PGothic" w:cs="MS PGothic" w:eastAsia="MS PGothic" w:hAnsi="MS PGothic"/>
          <w:sz w:val="20"/>
          <w:szCs w:val="20"/>
          <w:color w:val="auto"/>
        </w:rPr>
        <w:t>‐</w:t>
      </w:r>
      <w:r>
        <w:rPr>
          <w:rFonts w:ascii="Arial" w:cs="Arial" w:eastAsia="Arial" w:hAnsi="Arial"/>
          <w:sz w:val="20"/>
          <w:szCs w:val="20"/>
          <w:color w:val="auto"/>
        </w:rPr>
        <w:t xml:space="preserve"> kind benefits provided hereunder (or otherwise) that are not exempt from Section 409A, the following rules shall apply: (x) the amount of expenses eligible for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benefits provided, during any one taxable year shall not affect the expenses eligible for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 to be provided in any other taxable year, (y) in the case of any reimbursements of eligible expenses, reimbursement shall be made on or before the last day of the taxable year following the taxable year in which the expense was incurred, and (z) the right to reimbursement or in</w:t>
      </w:r>
      <w:r>
        <w:rPr>
          <w:rFonts w:ascii="MS PGothic" w:cs="MS PGothic" w:eastAsia="MS PGothic" w:hAnsi="MS PGothic"/>
          <w:sz w:val="20"/>
          <w:szCs w:val="20"/>
          <w:color w:val="auto"/>
        </w:rPr>
        <w:t>‐</w:t>
      </w:r>
      <w:r>
        <w:rPr>
          <w:rFonts w:ascii="Arial" w:cs="Arial" w:eastAsia="Arial" w:hAnsi="Arial"/>
          <w:sz w:val="20"/>
          <w:szCs w:val="20"/>
          <w:color w:val="auto"/>
        </w:rPr>
        <w:t>kind benefits shall not be subject to liquidation or exchange for another benefit.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Conditions, Dispute Resolution, and Complete Agreement</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offer is contingent upon a satisfactory reference check and satisfactory proof of your right to work in the United States. Additionally, you are required to complete a background check, this offer is contingent upon satisfactory clearance of such background check. You agree to assist as needed and to complete any documentation at the Company’s request to meet these conditions.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11" w:name="page112"/>
    <w:bookmarkEnd w:id="111"/>
    <w:p>
      <w:pPr>
        <w:jc w:val="both"/>
        <w:spacing w:after="0" w:line="220" w:lineRule="exact"/>
        <w:rPr>
          <w:sz w:val="20"/>
          <w:szCs w:val="20"/>
          <w:color w:val="auto"/>
        </w:rPr>
      </w:pPr>
      <w:r>
        <w:rPr>
          <w:rFonts w:ascii="Arial" w:cs="Arial" w:eastAsia="Arial" w:hAnsi="Arial"/>
          <w:sz w:val="19"/>
          <w:szCs w:val="19"/>
          <w:color w:val="auto"/>
        </w:rPr>
        <w:t>Company, or the termination of your employment, shall be resolved pursuant to the Federal Arbitration Act, 9 U.S.C. § 1</w:t>
      </w:r>
      <w:r>
        <w:rPr>
          <w:rFonts w:ascii="MS PGothic" w:cs="MS PGothic" w:eastAsia="MS PGothic" w:hAnsi="MS PGothic"/>
          <w:sz w:val="19"/>
          <w:szCs w:val="19"/>
          <w:color w:val="auto"/>
        </w:rPr>
        <w:t>‐</w:t>
      </w:r>
      <w:r>
        <w:rPr>
          <w:rFonts w:ascii="Arial" w:cs="Arial" w:eastAsia="Arial" w:hAnsi="Arial"/>
          <w:sz w:val="19"/>
          <w:szCs w:val="19"/>
          <w:color w:val="auto"/>
        </w:rPr>
        <w:t>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w:t>
      </w:r>
      <w:r>
        <w:rPr>
          <w:rFonts w:ascii="MS PGothic" w:cs="MS PGothic" w:eastAsia="MS PGothic" w:hAnsi="MS PGothic"/>
          <w:sz w:val="19"/>
          <w:szCs w:val="19"/>
          <w:color w:val="auto"/>
        </w:rPr>
        <w:t>‐</w:t>
      </w:r>
      <w:r>
        <w:rPr>
          <w:rFonts w:ascii="Arial" w:cs="Arial" w:eastAsia="Arial" w:hAnsi="Arial"/>
          <w:sz w:val="19"/>
          <w:szCs w:val="19"/>
          <w:color w:val="auto"/>
        </w:rPr>
        <w:t>employment</w:t>
      </w:r>
      <w:r>
        <w:rPr>
          <w:rFonts w:ascii="MS PGothic" w:cs="MS PGothic" w:eastAsia="MS PGothic" w:hAnsi="MS PGothic"/>
          <w:sz w:val="19"/>
          <w:szCs w:val="19"/>
          <w:color w:val="auto"/>
        </w:rPr>
        <w:t>‐</w:t>
      </w:r>
      <w:r>
        <w:rPr>
          <w:rFonts w:ascii="Arial" w:cs="Arial" w:eastAsia="Arial" w:hAnsi="Arial"/>
          <w:sz w:val="19"/>
          <w:szCs w:val="19"/>
          <w:color w:val="auto"/>
        </w:rPr>
        <w:t xml:space="preserve">arbitration/) at such location as you and the Company may mutually agree or, in the absence of any agreement, in San Francisco, California. </w:t>
      </w:r>
      <w:r>
        <w:rPr>
          <w:rFonts w:ascii="Arial" w:cs="Arial" w:eastAsia="Arial" w:hAnsi="Arial"/>
          <w:sz w:val="19"/>
          <w:szCs w:val="19"/>
          <w:b w:val="1"/>
          <w:bCs w:val="1"/>
          <w:color w:val="auto"/>
        </w:rPr>
        <w:t>You acknowledge that by agreeing to this</w:t>
      </w:r>
      <w:r>
        <w:rPr>
          <w:rFonts w:ascii="Arial" w:cs="Arial" w:eastAsia="Arial" w:hAnsi="Arial"/>
          <w:sz w:val="19"/>
          <w:szCs w:val="19"/>
          <w:color w:val="auto"/>
        </w:rPr>
        <w:t xml:space="preserve"> </w:t>
      </w:r>
      <w:r>
        <w:rPr>
          <w:rFonts w:ascii="Arial" w:cs="Arial" w:eastAsia="Arial" w:hAnsi="Arial"/>
          <w:sz w:val="19"/>
          <w:szCs w:val="19"/>
          <w:b w:val="1"/>
          <w:bCs w:val="1"/>
          <w:color w:val="auto"/>
        </w:rPr>
        <w:t>arbitration procedure, both you and the Company waive the right to resolve any such dispute through a trial by jury or judge or administrative proceeding</w:t>
      </w:r>
      <w:r>
        <w:rPr>
          <w:rFonts w:ascii="Arial" w:cs="Arial" w:eastAsia="Arial" w:hAnsi="Arial"/>
          <w:sz w:val="19"/>
          <w:szCs w:val="19"/>
          <w:color w:val="auto"/>
        </w:rPr>
        <w:t>. In addition, all claims, disputes, or causes of action under this section, whether by you 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3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letter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letter, together with your Employee Confidential Information and Inventions Assignment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discretion 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12" w:name="page113"/>
    <w:bookmarkEnd w:id="112"/>
    <w:p>
      <w:pPr>
        <w:jc w:val="both"/>
        <w:spacing w:after="0" w:line="230" w:lineRule="auto"/>
        <w:rPr>
          <w:sz w:val="20"/>
          <w:szCs w:val="20"/>
          <w:color w:val="auto"/>
        </w:rPr>
      </w:pPr>
      <w:r>
        <w:rPr>
          <w:rFonts w:ascii="Arial" w:cs="Arial" w:eastAsia="Arial" w:hAnsi="Arial"/>
          <w:sz w:val="20"/>
          <w:szCs w:val="20"/>
          <w:color w:val="auto"/>
        </w:rPr>
        <w:t>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 and may be executed in any number of counterparts, each of which shall be deemed an original as against any party whose signature appears thereon, and all of which together shall constitute one and the same instrument.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3" w:name="page114"/>
    <w:bookmarkEnd w:id="113"/>
    <w:p>
      <w:pPr>
        <w:jc w:val="both"/>
        <w:spacing w:after="0" w:line="241" w:lineRule="auto"/>
        <w:rPr>
          <w:sz w:val="20"/>
          <w:szCs w:val="20"/>
          <w:color w:val="auto"/>
        </w:rPr>
      </w:pPr>
      <w:r>
        <w:rPr>
          <w:rFonts w:ascii="Arial" w:cs="Arial" w:eastAsia="Arial" w:hAnsi="Arial"/>
          <w:sz w:val="20"/>
          <w:szCs w:val="20"/>
          <w:color w:val="auto"/>
        </w:rPr>
        <w:t>Please sign and date this letter, and the Employee Confidential Information and Inventions Assignment Agreement and return them to me by 5:00 p.m. Pacific time on January 15, 2026, if you wish to accept employment at the Company under the terms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your favorable reply and to a productive and enjoyable work relationship.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Warner Biddle____________</w:t>
      </w:r>
    </w:p>
    <w:p>
      <w:pPr>
        <w:spacing w:after="0" w:line="229" w:lineRule="auto"/>
        <w:rPr>
          <w:sz w:val="20"/>
          <w:szCs w:val="20"/>
          <w:color w:val="auto"/>
        </w:rPr>
      </w:pPr>
      <w:r>
        <w:rPr>
          <w:rFonts w:ascii="Arial" w:cs="Arial" w:eastAsia="Arial" w:hAnsi="Arial"/>
          <w:sz w:val="20"/>
          <w:szCs w:val="20"/>
          <w:color w:val="auto"/>
        </w:rPr>
        <w:t>Warner Biddle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Understood and Accepted: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760" w:type="dxa"/>
            <w:vAlign w:val="bottom"/>
            <w:gridSpan w:val="3"/>
          </w:tcPr>
          <w:p>
            <w:pPr>
              <w:spacing w:after="0"/>
              <w:rPr>
                <w:sz w:val="20"/>
                <w:szCs w:val="20"/>
                <w:color w:val="auto"/>
              </w:rPr>
            </w:pPr>
            <w:r>
              <w:rPr>
                <w:rFonts w:ascii="Arial" w:cs="Arial" w:eastAsia="Arial" w:hAnsi="Arial"/>
                <w:sz w:val="20"/>
                <w:szCs w:val="20"/>
                <w:color w:val="auto"/>
                <w:w w:val="97"/>
              </w:rPr>
              <w:t>/s/ Mayo Pujols_____________</w:t>
            </w:r>
          </w:p>
        </w:tc>
        <w:tc>
          <w:tcPr>
            <w:tcW w:w="6700" w:type="dxa"/>
            <w:vAlign w:val="bottom"/>
            <w:gridSpan w:val="2"/>
          </w:tcPr>
          <w:p>
            <w:pPr>
              <w:ind w:left="2840"/>
              <w:spacing w:after="0"/>
              <w:rPr>
                <w:sz w:val="20"/>
                <w:szCs w:val="20"/>
                <w:color w:val="auto"/>
              </w:rPr>
            </w:pPr>
            <w:r>
              <w:rPr>
                <w:rFonts w:ascii="Arial" w:cs="Arial" w:eastAsia="Arial" w:hAnsi="Arial"/>
                <w:sz w:val="20"/>
                <w:szCs w:val="20"/>
                <w:color w:val="auto"/>
                <w:w w:val="98"/>
              </w:rPr>
              <w:t>1/15/2026___________________________</w:t>
            </w:r>
          </w:p>
        </w:tc>
      </w:tr>
      <w:tr>
        <w:trPr>
          <w:trHeight w:val="255"/>
        </w:trPr>
        <w:tc>
          <w:tcPr>
            <w:tcW w:w="13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Mayo Pujols</w:t>
            </w:r>
          </w:p>
        </w:tc>
        <w:tc>
          <w:tcPr>
            <w:tcW w:w="76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40" w:type="dxa"/>
            <w:vAlign w:val="bottom"/>
          </w:tcPr>
          <w:p>
            <w:pPr>
              <w:spacing w:after="0"/>
              <w:rPr>
                <w:sz w:val="22"/>
                <w:szCs w:val="22"/>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1028065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1194435</wp:posOffset>
            </wp:positionV>
            <wp:extent cx="1508760" cy="4718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Mayo Pujols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Via email</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Dear Mayo:</w:t>
      </w:r>
    </w:p>
    <w:p>
      <w:pPr>
        <w:spacing w:after="0" w:line="200" w:lineRule="exact"/>
        <w:rPr>
          <w:sz w:val="20"/>
          <w:szCs w:val="20"/>
          <w:color w:val="auto"/>
        </w:rPr>
      </w:pPr>
    </w:p>
    <w:p>
      <w:pPr>
        <w:ind w:left="120" w:right="20"/>
        <w:spacing w:after="0" w:line="270" w:lineRule="auto"/>
        <w:rPr>
          <w:sz w:val="20"/>
          <w:szCs w:val="20"/>
          <w:color w:val="auto"/>
        </w:rPr>
      </w:pPr>
      <w:r>
        <w:rPr>
          <w:rFonts w:ascii="Arial" w:cs="Arial" w:eastAsia="Arial" w:hAnsi="Arial"/>
          <w:sz w:val="20"/>
          <w:szCs w:val="20"/>
          <w:color w:val="auto"/>
        </w:rPr>
        <w:t>This letter sets forth the separation and general release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between you and Kyverna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in connection with your termination of employment with the Company.</w:t>
      </w:r>
    </w:p>
    <w:p>
      <w:pPr>
        <w:spacing w:after="0" w:line="131"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1.</w:t>
      </w:r>
      <w:r>
        <w:rPr>
          <w:rFonts w:ascii="Arial" w:cs="Arial" w:eastAsia="Arial" w:hAnsi="Arial"/>
          <w:sz w:val="20"/>
          <w:szCs w:val="20"/>
          <w:b w:val="1"/>
          <w:bCs w:val="1"/>
          <w:color w:val="auto"/>
        </w:rPr>
        <w:t>SEPARATION</w:t>
      </w:r>
      <w:r>
        <w:rPr>
          <w:rFonts w:ascii="Arial" w:cs="Arial" w:eastAsia="Arial" w:hAnsi="Arial"/>
          <w:sz w:val="20"/>
          <w:szCs w:val="20"/>
          <w:color w:val="auto"/>
        </w:rPr>
        <w:t>. Your last day of work with the Company and your employment termination date was [ ● ] (the</w:t>
      </w:r>
    </w:p>
    <w:p>
      <w:pPr>
        <w:spacing w:after="0" w:line="29" w:lineRule="exact"/>
        <w:rPr>
          <w:sz w:val="20"/>
          <w:szCs w:val="20"/>
          <w:color w:val="auto"/>
        </w:rPr>
      </w:pPr>
    </w:p>
    <w:p>
      <w:pPr>
        <w:ind w:left="12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 Date</w:t>
      </w:r>
      <w:r>
        <w:rPr>
          <w:rFonts w:ascii="Arial" w:cs="Arial" w:eastAsia="Arial" w:hAnsi="Arial"/>
          <w:sz w:val="19"/>
          <w:szCs w:val="19"/>
          <w:color w:val="auto"/>
        </w:rPr>
        <w:t>”) and the parties agree that you resigned, effective as of the Separation Date, from (a) all positions that you held with the Company or any of its affiliates, including, without limitation, as an employee, officer, manager or director and</w:t>
      </w:r>
    </w:p>
    <w:p>
      <w:pPr>
        <w:jc w:val="both"/>
        <w:ind w:left="120" w:hanging="7"/>
        <w:spacing w:after="0" w:line="232" w:lineRule="auto"/>
        <w:tabs>
          <w:tab w:leader="none" w:pos="424" w:val="left"/>
        </w:tabs>
        <w:numPr>
          <w:ilvl w:val="0"/>
          <w:numId w:val="54"/>
        </w:numPr>
        <w:rPr>
          <w:rFonts w:ascii="Arial" w:cs="Arial" w:eastAsia="Arial" w:hAnsi="Arial"/>
          <w:sz w:val="20"/>
          <w:szCs w:val="20"/>
          <w:color w:val="auto"/>
        </w:rPr>
      </w:pPr>
      <w:r>
        <w:rPr>
          <w:rFonts w:ascii="Arial" w:cs="Arial" w:eastAsia="Arial" w:hAnsi="Arial"/>
          <w:sz w:val="20"/>
          <w:szCs w:val="20"/>
          <w:color w:val="auto"/>
        </w:rPr>
        <w:t>all fiduciary positions (including as a trustee) you held with respect to any employee benefit plans or trusts established by the Company or any affiliate, and the parties hereby confirm that your resignation was not due to any disagreement with the Company relating to any of the Company’s operations, policies or practices. You agree to execute any additional documents consistent with the foregoing resignations that the Company may reasonably request.</w:t>
      </w:r>
    </w:p>
    <w:p>
      <w:pPr>
        <w:spacing w:after="0" w:line="184" w:lineRule="exact"/>
        <w:rPr>
          <w:sz w:val="20"/>
          <w:szCs w:val="20"/>
          <w:color w:val="auto"/>
        </w:rPr>
      </w:pPr>
    </w:p>
    <w:p>
      <w:pPr>
        <w:ind w:left="860"/>
        <w:spacing w:after="0"/>
        <w:rPr>
          <w:sz w:val="20"/>
          <w:szCs w:val="20"/>
          <w:color w:val="auto"/>
        </w:rPr>
      </w:pPr>
      <w:r>
        <w:rPr>
          <w:rFonts w:ascii="Calibri" w:cs="Calibri" w:eastAsia="Calibri" w:hAnsi="Calibri"/>
          <w:sz w:val="19"/>
          <w:szCs w:val="19"/>
          <w:b w:val="1"/>
          <w:bCs w:val="1"/>
          <w:color w:val="auto"/>
        </w:rPr>
        <w:t>2.</w:t>
      </w:r>
      <w:r>
        <w:rPr>
          <w:rFonts w:ascii="Arial" w:cs="Arial" w:eastAsia="Arial" w:hAnsi="Arial"/>
          <w:sz w:val="19"/>
          <w:szCs w:val="19"/>
          <w:b w:val="1"/>
          <w:bCs w:val="1"/>
          <w:color w:val="auto"/>
        </w:rPr>
        <w:t>SEVERANCE.</w:t>
      </w:r>
      <w:r>
        <w:rPr>
          <w:rFonts w:ascii="Calibri" w:cs="Calibri" w:eastAsia="Calibri" w:hAnsi="Calibri"/>
          <w:sz w:val="19"/>
          <w:szCs w:val="19"/>
          <w:b w:val="1"/>
          <w:bCs w:val="1"/>
          <w:color w:val="auto"/>
        </w:rPr>
        <w:t xml:space="preserve"> </w:t>
      </w:r>
      <w:r>
        <w:rPr>
          <w:rFonts w:ascii="Arial" w:cs="Arial" w:eastAsia="Arial" w:hAnsi="Arial"/>
          <w:sz w:val="19"/>
          <w:szCs w:val="19"/>
          <w:color w:val="auto"/>
        </w:rPr>
        <w:t>If you timely sign this Agreement, allow it to become effective and irrevocable, and comply with your</w:t>
      </w:r>
    </w:p>
    <w:p>
      <w:pPr>
        <w:spacing w:after="0" w:line="41"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obligations under it (collectively, the “</w:t>
      </w:r>
      <w:r>
        <w:rPr>
          <w:rFonts w:ascii="Arial" w:cs="Arial" w:eastAsia="Arial" w:hAnsi="Arial"/>
          <w:sz w:val="20"/>
          <w:szCs w:val="20"/>
          <w:b w:val="1"/>
          <w:bCs w:val="1"/>
          <w:color w:val="auto"/>
        </w:rPr>
        <w:t>Preconditions</w:t>
      </w:r>
      <w:r>
        <w:rPr>
          <w:rFonts w:ascii="Arial" w:cs="Arial" w:eastAsia="Arial" w:hAnsi="Arial"/>
          <w:sz w:val="20"/>
          <w:szCs w:val="20"/>
          <w:color w:val="auto"/>
        </w:rPr>
        <w:t>”), then the Company will provide you with the following severance benefits described in your offer letter agreement with the Company dated _______________, 2026 (capitalized terms not defined herein shall have the meanings ascribed to them in such offer letter agreement):</w:t>
      </w:r>
    </w:p>
    <w:p>
      <w:pPr>
        <w:spacing w:after="0" w:line="138" w:lineRule="exact"/>
        <w:rPr>
          <w:sz w:val="20"/>
          <w:szCs w:val="20"/>
          <w:color w:val="auto"/>
        </w:rPr>
      </w:pPr>
    </w:p>
    <w:p>
      <w:pPr>
        <w:ind w:left="1800" w:hanging="579"/>
        <w:spacing w:after="0" w:line="245" w:lineRule="exact"/>
        <w:tabs>
          <w:tab w:leader="none" w:pos="1800" w:val="left"/>
        </w:tabs>
        <w:numPr>
          <w:ilvl w:val="0"/>
          <w:numId w:val="55"/>
        </w:numPr>
        <w:rPr>
          <w:rFonts w:ascii="Calibri" w:cs="Calibri" w:eastAsia="Calibri" w:hAnsi="Calibri"/>
          <w:sz w:val="20"/>
          <w:szCs w:val="20"/>
          <w:b w:val="1"/>
          <w:bCs w:val="1"/>
          <w:color w:val="auto"/>
        </w:rPr>
      </w:pPr>
      <w:r>
        <w:rPr>
          <w:rFonts w:ascii="Arial" w:cs="Arial" w:eastAsia="Arial" w:hAnsi="Arial"/>
          <w:sz w:val="20"/>
          <w:szCs w:val="20"/>
          <w:color w:val="auto"/>
        </w:rPr>
        <w:t>[An amount equal to 12 months of your then</w:t>
      </w:r>
      <w:r>
        <w:rPr>
          <w:rFonts w:ascii="MS PGothic" w:cs="MS PGothic" w:eastAsia="MS PGothic" w:hAnsi="MS PGothic"/>
          <w:sz w:val="20"/>
          <w:szCs w:val="20"/>
          <w:color w:val="auto"/>
        </w:rPr>
        <w:t>‐</w:t>
      </w:r>
      <w:r>
        <w:rPr>
          <w:rFonts w:ascii="Arial" w:cs="Arial" w:eastAsia="Arial" w:hAnsi="Arial"/>
          <w:sz w:val="20"/>
          <w:szCs w:val="20"/>
          <w:color w:val="auto"/>
        </w:rPr>
        <w:t>current Base Salary, less all applicable withholdings and</w:t>
      </w:r>
    </w:p>
    <w:p>
      <w:pPr>
        <w:spacing w:after="0" w:line="86" w:lineRule="exact"/>
        <w:rPr>
          <w:sz w:val="20"/>
          <w:szCs w:val="20"/>
          <w:color w:val="auto"/>
        </w:rPr>
      </w:pPr>
    </w:p>
    <w:p>
      <w:pPr>
        <w:jc w:val="both"/>
        <w:ind w:left="120"/>
        <w:spacing w:after="0" w:line="221" w:lineRule="exact"/>
        <w:rPr>
          <w:sz w:val="20"/>
          <w:szCs w:val="20"/>
          <w:color w:val="auto"/>
        </w:rPr>
      </w:pPr>
      <w:r>
        <w:rPr>
          <w:rFonts w:ascii="Arial" w:cs="Arial" w:eastAsia="Arial" w:hAnsi="Arial"/>
          <w:sz w:val="20"/>
          <w:szCs w:val="20"/>
          <w:color w:val="auto"/>
        </w:rPr>
        <w:t>deductions, paid over such 12</w:t>
      </w:r>
      <w:r>
        <w:rPr>
          <w:rFonts w:ascii="MS PGothic" w:cs="MS PGothic" w:eastAsia="MS PGothic" w:hAnsi="MS PGothic"/>
          <w:sz w:val="20"/>
          <w:szCs w:val="20"/>
          <w:color w:val="auto"/>
        </w:rPr>
        <w:t>‐</w:t>
      </w:r>
      <w:r>
        <w:rPr>
          <w:rFonts w:ascii="Arial" w:cs="Arial" w:eastAsia="Arial" w:hAnsi="Arial"/>
          <w:sz w:val="20"/>
          <w:szCs w:val="20"/>
          <w:color w:val="auto"/>
        </w:rPr>
        <w:t>month period.]</w:t>
      </w:r>
      <w:r>
        <w:rPr>
          <w:rFonts w:ascii="Arial" w:cs="Arial" w:eastAsia="Arial" w:hAnsi="Arial"/>
          <w:sz w:val="13"/>
          <w:szCs w:val="13"/>
          <w:color w:val="auto"/>
        </w:rPr>
        <w:t>1</w:t>
      </w:r>
      <w:r>
        <w:rPr>
          <w:rFonts w:ascii="Arial" w:cs="Arial" w:eastAsia="Arial" w:hAnsi="Arial"/>
          <w:sz w:val="20"/>
          <w:szCs w:val="20"/>
          <w:color w:val="auto"/>
        </w:rPr>
        <w:t xml:space="preserve"> This amount will be paid in equal installments on the Company’s regular payroll schedule and will be subject to applicable tax withholdings over the period following the date of your termination date; provided, however, that no payments will be made prior to the 60th day following your Separation from Service. On the 60th day following your Separation from Service, the Company will pay you in a lump sum the severance benefits that you would have received on or prior to such date under the original schedule but for the delay while waiting for the 60th day in compliance with Code Section 409A and the effectiveness of the Release (as defined herein), with the balance to be paid as originally scheduled.</w:t>
      </w:r>
    </w:p>
    <w:p>
      <w:pPr>
        <w:spacing w:after="0" w:line="172" w:lineRule="exact"/>
        <w:rPr>
          <w:sz w:val="20"/>
          <w:szCs w:val="20"/>
          <w:color w:val="auto"/>
        </w:rPr>
      </w:pPr>
    </w:p>
    <w:p>
      <w:pPr>
        <w:ind w:left="120" w:right="20" w:firstLine="1101"/>
        <w:spacing w:after="0" w:line="285" w:lineRule="auto"/>
        <w:tabs>
          <w:tab w:leader="none" w:pos="1800" w:val="left"/>
        </w:tabs>
        <w:numPr>
          <w:ilvl w:val="0"/>
          <w:numId w:val="56"/>
        </w:numPr>
        <w:rPr>
          <w:rFonts w:ascii="Calibri" w:cs="Calibri" w:eastAsia="Calibri" w:hAnsi="Calibri"/>
          <w:sz w:val="20"/>
          <w:szCs w:val="20"/>
          <w:b w:val="1"/>
          <w:bCs w:val="1"/>
          <w:color w:val="auto"/>
        </w:rPr>
      </w:pPr>
      <w:r>
        <w:rPr>
          <w:rFonts w:ascii="Arial" w:cs="Arial" w:eastAsia="Arial" w:hAnsi="Arial"/>
          <w:sz w:val="20"/>
          <w:szCs w:val="20"/>
          <w:color w:val="auto"/>
        </w:rPr>
        <w:t>If you timely elect continued coverage under COBRA, then the Company shall pay the entire COBRA premiums necessary to continue your health insurance coverage in effect for yourself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1688465" cy="508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62" w:lineRule="exact"/>
        <w:rPr>
          <w:sz w:val="20"/>
          <w:szCs w:val="20"/>
          <w:color w:val="auto"/>
        </w:rPr>
      </w:pPr>
    </w:p>
    <w:p>
      <w:pPr>
        <w:ind w:right="140" w:firstLine="8"/>
        <w:spacing w:after="0" w:line="211" w:lineRule="exact"/>
        <w:tabs>
          <w:tab w:leader="none" w:pos="117" w:val="left"/>
        </w:tabs>
        <w:numPr>
          <w:ilvl w:val="0"/>
          <w:numId w:val="57"/>
        </w:numPr>
        <w:rPr>
          <w:rFonts w:ascii="Arial" w:cs="Arial" w:eastAsia="Arial" w:hAnsi="Arial"/>
          <w:sz w:val="23"/>
          <w:szCs w:val="23"/>
          <w:color w:val="auto"/>
          <w:vertAlign w:val="superscript"/>
        </w:rPr>
      </w:pPr>
      <w:r>
        <w:rPr>
          <w:rFonts w:ascii="Arial" w:cs="Arial" w:eastAsia="Arial" w:hAnsi="Arial"/>
          <w:sz w:val="17"/>
          <w:szCs w:val="17"/>
          <w:color w:val="auto"/>
        </w:rPr>
        <w:t>If the Separation from Service occurs upon or within twelve (12) months following a Change in Control (as defined in the Plan), then this sentence shall read “For a period of 15 months, an amount per month equal to 1/12th of the sum of (a) your then</w:t>
      </w:r>
      <w:r>
        <w:rPr>
          <w:rFonts w:ascii="MS PGothic" w:cs="MS PGothic" w:eastAsia="MS PGothic" w:hAnsi="MS PGothic"/>
          <w:sz w:val="17"/>
          <w:szCs w:val="17"/>
          <w:color w:val="auto"/>
        </w:rPr>
        <w:t>‐</w:t>
      </w:r>
      <w:r>
        <w:rPr>
          <w:rFonts w:ascii="Arial" w:cs="Arial" w:eastAsia="Arial" w:hAnsi="Arial"/>
          <w:sz w:val="17"/>
          <w:szCs w:val="17"/>
          <w:color w:val="auto"/>
        </w:rPr>
        <w:t>current Base Salary plus</w:t>
      </w:r>
    </w:p>
    <w:p>
      <w:pPr>
        <w:spacing w:after="0" w:line="1"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r>
        <w:rPr>
          <w:rFonts w:ascii="Arial" w:cs="Arial" w:eastAsia="Arial" w:hAnsi="Arial"/>
          <w:sz w:val="18"/>
          <w:szCs w:val="18"/>
          <w:color w:val="auto"/>
        </w:rPr>
        <w:t>(b) your pro-rated bonus at target, less all applicable withholdings and deductions, paid over such 15</w:t>
      </w:r>
      <w:r>
        <w:rPr>
          <w:rFonts w:ascii="MS PGothic" w:cs="MS PGothic" w:eastAsia="MS PGothic" w:hAnsi="MS PGothic"/>
          <w:sz w:val="18"/>
          <w:szCs w:val="18"/>
          <w:color w:val="auto"/>
        </w:rPr>
        <w:t>‐</w:t>
      </w:r>
      <w:r>
        <w:rPr>
          <w:rFonts w:ascii="Arial" w:cs="Arial" w:eastAsia="Arial" w:hAnsi="Arial"/>
          <w:sz w:val="18"/>
          <w:szCs w:val="18"/>
          <w:color w:val="auto"/>
        </w:rPr>
        <w:t>month period.”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6" w:name="page117"/>
    <w:bookmarkEnd w:id="116"/>
    <w:p>
      <w:pPr>
        <w:spacing w:after="0" w:line="387" w:lineRule="exact"/>
        <w:rPr>
          <w:sz w:val="20"/>
          <w:szCs w:val="20"/>
          <w:color w:val="auto"/>
        </w:rPr>
      </w:pPr>
    </w:p>
    <w:p>
      <w:pPr>
        <w:jc w:val="both"/>
        <w:ind w:left="120" w:right="40"/>
        <w:spacing w:after="0" w:line="232" w:lineRule="exact"/>
        <w:rPr>
          <w:sz w:val="20"/>
          <w:szCs w:val="20"/>
          <w:color w:val="auto"/>
        </w:rPr>
      </w:pPr>
      <w:r>
        <w:rPr>
          <w:rFonts w:ascii="Arial" w:cs="Arial" w:eastAsia="Arial" w:hAnsi="Arial"/>
          <w:sz w:val="20"/>
          <w:szCs w:val="20"/>
          <w:color w:val="auto"/>
        </w:rPr>
        <w:t>your eligible dependents on the termination date until the earliest of (i) the close of the [12</w:t>
      </w:r>
      <w:r>
        <w:rPr>
          <w:rFonts w:ascii="MS PGothic" w:cs="MS PGothic" w:eastAsia="MS PGothic" w:hAnsi="MS PGothic"/>
          <w:sz w:val="20"/>
          <w:szCs w:val="20"/>
          <w:color w:val="auto"/>
        </w:rPr>
        <w:t>‐</w:t>
      </w:r>
      <w:r>
        <w:rPr>
          <w:rFonts w:ascii="Arial" w:cs="Arial" w:eastAsia="Arial" w:hAnsi="Arial"/>
          <w:sz w:val="20"/>
          <w:szCs w:val="20"/>
          <w:color w:val="auto"/>
        </w:rPr>
        <w:t>month]</w:t>
      </w:r>
      <w:r>
        <w:rPr>
          <w:rFonts w:ascii="Arial" w:cs="Arial" w:eastAsia="Arial" w:hAnsi="Arial"/>
          <w:sz w:val="13"/>
          <w:szCs w:val="13"/>
          <w:color w:val="auto"/>
        </w:rPr>
        <w:t>2</w:t>
      </w:r>
      <w:r>
        <w:rPr>
          <w:rFonts w:ascii="Arial" w:cs="Arial" w:eastAsia="Arial" w:hAnsi="Arial"/>
          <w:sz w:val="20"/>
          <w:szCs w:val="20"/>
          <w:color w:val="auto"/>
        </w:rPr>
        <w:t xml:space="preserve"> period following the termination of your employment, (ii) the expiration of your eligibility for the continuation coverage under COBRA, and (iii) the date when you become eligible for substantially equivalent health insurance coverage in connection with new employment. If you become eligible for coverage under another employer’s group health plan or otherwise cease to be eligible for COBRA during the period provided in this clause, you must immediately notify the Company of such event, and all payments and obligations under this clause shall cease</w:t>
      </w:r>
      <w:r>
        <w:rPr>
          <w:rFonts w:ascii="Times New Roman" w:cs="Times New Roman" w:eastAsia="Times New Roman" w:hAnsi="Times New Roman"/>
          <w:sz w:val="20"/>
          <w:szCs w:val="20"/>
          <w:color w:val="auto"/>
        </w:rPr>
        <w:t>.</w:t>
      </w:r>
      <w:r>
        <w:rPr>
          <w:rFonts w:ascii="Arial" w:cs="Arial" w:eastAsia="Arial" w:hAnsi="Arial"/>
          <w:sz w:val="13"/>
          <w:szCs w:val="13"/>
          <w:color w:val="auto"/>
        </w:rPr>
        <w:t>3</w:t>
      </w:r>
    </w:p>
    <w:p>
      <w:pPr>
        <w:spacing w:after="0" w:line="199" w:lineRule="exact"/>
        <w:rPr>
          <w:sz w:val="20"/>
          <w:szCs w:val="20"/>
          <w:color w:val="auto"/>
        </w:rPr>
      </w:pPr>
    </w:p>
    <w:p>
      <w:pPr>
        <w:ind w:left="120" w:right="60" w:firstLine="1101"/>
        <w:spacing w:after="0" w:line="285" w:lineRule="auto"/>
        <w:tabs>
          <w:tab w:leader="none" w:pos="1856" w:val="left"/>
        </w:tabs>
        <w:numPr>
          <w:ilvl w:val="0"/>
          <w:numId w:val="58"/>
        </w:numPr>
        <w:rPr>
          <w:rFonts w:ascii="Calibri" w:cs="Calibri" w:eastAsia="Calibri" w:hAnsi="Calibri"/>
          <w:sz w:val="20"/>
          <w:szCs w:val="20"/>
          <w:b w:val="1"/>
          <w:bCs w:val="1"/>
          <w:color w:val="auto"/>
        </w:rPr>
      </w:pPr>
      <w:r>
        <w:rPr>
          <w:rFonts w:ascii="Arial" w:cs="Arial" w:eastAsia="Arial" w:hAnsi="Arial"/>
          <w:sz w:val="20"/>
          <w:szCs w:val="20"/>
          <w:color w:val="auto"/>
        </w:rPr>
        <w:t>You are not entitled to or due the severance benefits described above unless you sign and return this Agreement and satisfy the Preconditions.</w:t>
      </w:r>
    </w:p>
    <w:p>
      <w:pPr>
        <w:spacing w:after="0" w:line="137"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3.</w:t>
      </w:r>
      <w:r>
        <w:rPr>
          <w:rFonts w:ascii="Arial" w:cs="Arial" w:eastAsia="Arial" w:hAnsi="Arial"/>
          <w:sz w:val="20"/>
          <w:szCs w:val="20"/>
          <w:b w:val="1"/>
          <w:bCs w:val="1"/>
          <w:color w:val="auto"/>
        </w:rPr>
        <w:t>H</w:t>
      </w:r>
      <w:r>
        <w:rPr>
          <w:rFonts w:ascii="Arial" w:cs="Arial" w:eastAsia="Arial" w:hAnsi="Arial"/>
          <w:sz w:val="13"/>
          <w:szCs w:val="13"/>
          <w:b w:val="1"/>
          <w:bCs w:val="1"/>
          <w:color w:val="auto"/>
        </w:rPr>
        <w:t>ealth</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Your participation in the Company’s group health insurance plan will end on the last day of the</w:t>
      </w:r>
    </w:p>
    <w:p>
      <w:pPr>
        <w:spacing w:after="0" w:line="29" w:lineRule="exact"/>
        <w:rPr>
          <w:sz w:val="20"/>
          <w:szCs w:val="20"/>
          <w:color w:val="auto"/>
        </w:rPr>
      </w:pPr>
    </w:p>
    <w:p>
      <w:pPr>
        <w:jc w:val="both"/>
        <w:ind w:left="120" w:right="40"/>
        <w:spacing w:after="0" w:line="233" w:lineRule="auto"/>
        <w:rPr>
          <w:sz w:val="20"/>
          <w:szCs w:val="20"/>
          <w:color w:val="auto"/>
        </w:rPr>
      </w:pPr>
      <w:r>
        <w:rPr>
          <w:rFonts w:ascii="Arial" w:cs="Arial" w:eastAsia="Arial" w:hAnsi="Arial"/>
          <w:sz w:val="20"/>
          <w:szCs w:val="20"/>
          <w:color w:val="auto"/>
        </w:rPr>
        <w:t>month in which the Separation Date occurs. To the extent provided by COBRA or, if applicable, state insurance laws, and by the Company’s current group health insurance policies, you will be eligible to continue your group health insurance benefits following the Separation Date, at the Company’s expense as provided under Section 2(b) above and thereafter at your own expense for such period as applicable law may provide.</w:t>
      </w:r>
    </w:p>
    <w:p>
      <w:pPr>
        <w:spacing w:after="0" w:line="170"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4.</w:t>
      </w:r>
      <w:r>
        <w:rPr>
          <w:rFonts w:ascii="Arial" w:cs="Arial" w:eastAsia="Arial" w:hAnsi="Arial"/>
          <w:sz w:val="20"/>
          <w:szCs w:val="20"/>
          <w:b w:val="1"/>
          <w:bCs w:val="1"/>
          <w:color w:val="auto"/>
        </w:rPr>
        <w:t>S</w:t>
      </w:r>
      <w:r>
        <w:rPr>
          <w:rFonts w:ascii="Arial" w:cs="Arial" w:eastAsia="Arial" w:hAnsi="Arial"/>
          <w:sz w:val="13"/>
          <w:szCs w:val="13"/>
          <w:b w:val="1"/>
          <w:bCs w:val="1"/>
          <w:color w:val="auto"/>
        </w:rPr>
        <w:t>tock</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ptions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Under the terms of your stock option agreement and the applicable plan documents, vesting of your</w:t>
      </w:r>
    </w:p>
    <w:p>
      <w:pPr>
        <w:spacing w:after="0" w:line="29"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20"/>
          <w:szCs w:val="20"/>
          <w:color w:val="auto"/>
        </w:rPr>
        <w:t>stock options will cease as of the Separation Date. Except as provided in Section 2(c) above, your right to exercise any vested shares, and all other rights and obligations with respect to your stock options(s) and all other equity compensation, will be as set forth in the applicable equity award agreement, grant notice and applicable plan documents.</w:t>
      </w:r>
    </w:p>
    <w:p>
      <w:pPr>
        <w:spacing w:after="0" w:line="196"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5.</w:t>
      </w:r>
      <w:r>
        <w:rPr>
          <w:rFonts w:ascii="Arial" w:cs="Arial" w:eastAsia="Arial" w:hAnsi="Arial"/>
          <w:sz w:val="20"/>
          <w:szCs w:val="20"/>
          <w:b w:val="1"/>
          <w:bCs w:val="1"/>
          <w:color w:val="auto"/>
        </w:rPr>
        <w:t>O</w:t>
      </w:r>
      <w:r>
        <w:rPr>
          <w:rFonts w:ascii="Arial" w:cs="Arial" w:eastAsia="Arial" w:hAnsi="Arial"/>
          <w:sz w:val="13"/>
          <w:szCs w:val="13"/>
          <w:b w:val="1"/>
          <w:bCs w:val="1"/>
          <w:color w:val="auto"/>
        </w:rPr>
        <w:t>ther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C</w:t>
      </w:r>
      <w:r>
        <w:rPr>
          <w:rFonts w:ascii="Arial" w:cs="Arial" w:eastAsia="Arial" w:hAnsi="Arial"/>
          <w:sz w:val="13"/>
          <w:szCs w:val="13"/>
          <w:b w:val="1"/>
          <w:bCs w:val="1"/>
          <w:color w:val="auto"/>
        </w:rPr>
        <w:t>ompensation or</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enefits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that, except as expressly provided in this Agreement, you have</w:t>
      </w:r>
    </w:p>
    <w:p>
      <w:pPr>
        <w:spacing w:after="0" w:line="29" w:lineRule="exact"/>
        <w:rPr>
          <w:sz w:val="20"/>
          <w:szCs w:val="20"/>
          <w:color w:val="auto"/>
        </w:rPr>
      </w:pPr>
    </w:p>
    <w:p>
      <w:pPr>
        <w:jc w:val="both"/>
        <w:ind w:left="120" w:right="40"/>
        <w:spacing w:after="0" w:line="233" w:lineRule="auto"/>
        <w:rPr>
          <w:sz w:val="20"/>
          <w:szCs w:val="20"/>
          <w:color w:val="auto"/>
        </w:rPr>
      </w:pPr>
      <w:r>
        <w:rPr>
          <w:rFonts w:ascii="Arial" w:cs="Arial" w:eastAsia="Arial" w:hAnsi="Arial"/>
          <w:sz w:val="20"/>
          <w:szCs w:val="20"/>
          <w:color w:val="auto"/>
        </w:rPr>
        <w:t>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spacing w:after="0" w:line="184"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6.</w:t>
      </w:r>
      <w:r>
        <w:rPr>
          <w:rFonts w:ascii="Arial" w:cs="Arial" w:eastAsia="Arial" w:hAnsi="Arial"/>
          <w:sz w:val="20"/>
          <w:szCs w:val="20"/>
          <w:b w:val="1"/>
          <w:bCs w:val="1"/>
          <w:color w:val="auto"/>
        </w:rPr>
        <w:t>E</w:t>
      </w:r>
      <w:r>
        <w:rPr>
          <w:rFonts w:ascii="Arial" w:cs="Arial" w:eastAsia="Arial" w:hAnsi="Arial"/>
          <w:sz w:val="13"/>
          <w:szCs w:val="13"/>
          <w:b w:val="1"/>
          <w:bCs w:val="1"/>
          <w:color w:val="auto"/>
        </w:rPr>
        <w:t>xpense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eimbursements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have submitted your final documented expense reimbursement</w:t>
      </w:r>
    </w:p>
    <w:p>
      <w:pPr>
        <w:spacing w:after="0" w:line="29" w:lineRule="exact"/>
        <w:rPr>
          <w:sz w:val="20"/>
          <w:szCs w:val="20"/>
          <w:color w:val="auto"/>
        </w:rPr>
      </w:pPr>
    </w:p>
    <w:p>
      <w:pPr>
        <w:jc w:val="both"/>
        <w:ind w:left="120" w:right="40"/>
        <w:spacing w:after="0" w:line="242" w:lineRule="auto"/>
        <w:rPr>
          <w:sz w:val="20"/>
          <w:szCs w:val="20"/>
          <w:color w:val="auto"/>
        </w:rPr>
      </w:pPr>
      <w:r>
        <w:rPr>
          <w:rFonts w:ascii="Arial" w:cs="Arial" w:eastAsia="Arial" w:hAnsi="Arial"/>
          <w:sz w:val="20"/>
          <w:szCs w:val="20"/>
          <w:color w:val="auto"/>
        </w:rPr>
        <w:t>statement reflecting all business expenses you incurred through the Separation Date, if any, for which you seek reimbursement. The Company will reimburse you for these expenses pursuant to its regular business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1688465" cy="508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680" w:firstLine="8"/>
        <w:spacing w:after="0" w:line="216" w:lineRule="auto"/>
        <w:tabs>
          <w:tab w:leader="none" w:pos="117" w:val="left"/>
        </w:tabs>
        <w:numPr>
          <w:ilvl w:val="0"/>
          <w:numId w:val="59"/>
        </w:numPr>
        <w:rPr>
          <w:rFonts w:ascii="Arial" w:cs="Arial" w:eastAsia="Arial" w:hAnsi="Arial"/>
          <w:sz w:val="24"/>
          <w:szCs w:val="24"/>
          <w:color w:val="auto"/>
          <w:vertAlign w:val="superscript"/>
        </w:rPr>
      </w:pPr>
      <w:r>
        <w:rPr>
          <w:rFonts w:ascii="Arial" w:cs="Arial" w:eastAsia="Arial" w:hAnsi="Arial"/>
          <w:sz w:val="18"/>
          <w:szCs w:val="18"/>
          <w:color w:val="auto"/>
        </w:rPr>
        <w:t>If the Separation from Service occurs upon or within twelve (12) months following a Change in Control (as defined in the Plan), the reference to “12-month” shall refer to “15-month”.</w:t>
      </w:r>
    </w:p>
    <w:p>
      <w:pPr>
        <w:spacing w:after="0" w:line="1" w:lineRule="exact"/>
        <w:rPr>
          <w:rFonts w:ascii="Arial" w:cs="Arial" w:eastAsia="Arial" w:hAnsi="Arial"/>
          <w:sz w:val="24"/>
          <w:szCs w:val="24"/>
          <w:color w:val="auto"/>
          <w:vertAlign w:val="superscript"/>
        </w:rPr>
      </w:pPr>
    </w:p>
    <w:p>
      <w:pPr>
        <w:spacing w:after="0" w:line="216"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8"/>
          <w:szCs w:val="18"/>
          <w:color w:val="auto"/>
        </w:rPr>
        <w:t xml:space="preserve"> If the Separation from Service occurs upon or within twelve (12) months following a Change in Control (as defined in the Plan), a new subsection shall be added, which shall provide that “any service-based vesting requirements with respect to your then outstanding Company stock options, restricted stock awards, and restricted stock unit awards, if any, shall be deemed fully satisfied and any performance-based vesting requirements with respect to such options and awards, if any and as applicable, shall be deemed satisfied at target.”</w:t>
      </w: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7" w:name="page118"/>
    <w:bookmarkEnd w:id="117"/>
    <w:p>
      <w:pPr>
        <w:spacing w:after="0" w:line="200" w:lineRule="exact"/>
        <w:rPr>
          <w:sz w:val="20"/>
          <w:szCs w:val="20"/>
          <w:color w:val="auto"/>
        </w:rPr>
      </w:pPr>
    </w:p>
    <w:p>
      <w:pPr>
        <w:spacing w:after="0" w:line="218" w:lineRule="exact"/>
        <w:rPr>
          <w:sz w:val="20"/>
          <w:szCs w:val="20"/>
          <w:color w:val="auto"/>
        </w:rPr>
      </w:pPr>
    </w:p>
    <w:p>
      <w:pPr>
        <w:ind w:left="1232" w:hanging="378"/>
        <w:spacing w:after="0"/>
        <w:tabs>
          <w:tab w:leader="none" w:pos="1232" w:val="left"/>
        </w:tabs>
        <w:numPr>
          <w:ilvl w:val="0"/>
          <w:numId w:val="60"/>
        </w:numPr>
        <w:rPr>
          <w:rFonts w:ascii="Calibri" w:cs="Calibri" w:eastAsia="Calibri" w:hAnsi="Calibri"/>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elease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laims</w:t>
      </w:r>
      <w:r>
        <w:rPr>
          <w:rFonts w:ascii="Arial" w:cs="Arial" w:eastAsia="Arial" w:hAnsi="Arial"/>
          <w:sz w:val="20"/>
          <w:szCs w:val="20"/>
          <w:b w:val="1"/>
          <w:bCs w:val="1"/>
          <w:color w:val="auto"/>
        </w:rPr>
        <w:t>.</w:t>
      </w:r>
    </w:p>
    <w:p>
      <w:pPr>
        <w:spacing w:after="0" w:line="255" w:lineRule="exact"/>
        <w:rPr>
          <w:sz w:val="20"/>
          <w:szCs w:val="20"/>
          <w:color w:val="auto"/>
        </w:rPr>
      </w:pPr>
    </w:p>
    <w:p>
      <w:pPr>
        <w:ind w:left="2032" w:hanging="430"/>
        <w:spacing w:after="0"/>
        <w:tabs>
          <w:tab w:leader="none" w:pos="2032" w:val="left"/>
        </w:tabs>
        <w:numPr>
          <w:ilvl w:val="0"/>
          <w:numId w:val="61"/>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General Release of Claims. </w:t>
      </w:r>
      <w:r>
        <w:rPr>
          <w:rFonts w:ascii="Arial" w:cs="Arial" w:eastAsia="Arial" w:hAnsi="Arial"/>
          <w:sz w:val="20"/>
          <w:szCs w:val="20"/>
          <w:color w:val="auto"/>
        </w:rPr>
        <w:t>In exchange for the consideration provided to you under this Agreement</w:t>
      </w:r>
    </w:p>
    <w:p>
      <w:pPr>
        <w:spacing w:after="0" w:line="29" w:lineRule="exact"/>
        <w:rPr>
          <w:sz w:val="20"/>
          <w:szCs w:val="20"/>
          <w:color w:val="auto"/>
        </w:rPr>
      </w:pPr>
    </w:p>
    <w:p>
      <w:pPr>
        <w:jc w:val="both"/>
        <w:ind w:left="112"/>
        <w:spacing w:after="0" w:line="231" w:lineRule="auto"/>
        <w:rPr>
          <w:sz w:val="20"/>
          <w:szCs w:val="20"/>
          <w:color w:val="auto"/>
        </w:rPr>
      </w:pPr>
      <w:r>
        <w:rPr>
          <w:rFonts w:ascii="Arial" w:cs="Arial" w:eastAsia="Arial" w:hAnsi="Arial"/>
          <w:sz w:val="20"/>
          <w:szCs w:val="20"/>
          <w:color w:val="auto"/>
        </w:rPr>
        <w:t>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186" w:lineRule="exact"/>
        <w:rPr>
          <w:sz w:val="20"/>
          <w:szCs w:val="20"/>
          <w:color w:val="auto"/>
        </w:rPr>
      </w:pPr>
    </w:p>
    <w:p>
      <w:pPr>
        <w:ind w:left="2032" w:hanging="430"/>
        <w:spacing w:after="0"/>
        <w:tabs>
          <w:tab w:leader="none" w:pos="2032" w:val="left"/>
        </w:tabs>
        <w:numPr>
          <w:ilvl w:val="0"/>
          <w:numId w:val="62"/>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Scope of Release. </w:t>
      </w:r>
      <w:r>
        <w:rPr>
          <w:rFonts w:ascii="Arial" w:cs="Arial" w:eastAsia="Arial" w:hAnsi="Arial"/>
          <w:sz w:val="20"/>
          <w:szCs w:val="20"/>
          <w:color w:val="auto"/>
        </w:rPr>
        <w:t>This general release includes, but is not limited to: (i) all claims arising from or in</w:t>
      </w:r>
    </w:p>
    <w:p>
      <w:pPr>
        <w:spacing w:after="0" w:line="29" w:lineRule="exact"/>
        <w:rPr>
          <w:sz w:val="20"/>
          <w:szCs w:val="20"/>
          <w:color w:val="auto"/>
        </w:rPr>
      </w:pPr>
    </w:p>
    <w:p>
      <w:pPr>
        <w:jc w:val="both"/>
        <w:ind w:left="112"/>
        <w:spacing w:after="0" w:line="227" w:lineRule="auto"/>
        <w:rPr>
          <w:sz w:val="20"/>
          <w:szCs w:val="20"/>
          <w:color w:val="auto"/>
        </w:rPr>
      </w:pPr>
      <w:r>
        <w:rPr>
          <w:rFonts w:ascii="Arial" w:cs="Arial" w:eastAsia="Arial" w:hAnsi="Arial"/>
          <w:sz w:val="20"/>
          <w:szCs w:val="20"/>
          <w:color w:val="auto"/>
        </w:rPr>
        <w:t>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20"/>
          <w:szCs w:val="20"/>
          <w:b w:val="1"/>
          <w:bCs w:val="1"/>
          <w:color w:val="auto"/>
        </w:rPr>
        <w:t>ADEA</w:t>
      </w:r>
      <w:r>
        <w:rPr>
          <w:rFonts w:ascii="Arial" w:cs="Arial" w:eastAsia="Arial" w:hAnsi="Arial"/>
          <w:sz w:val="20"/>
          <w:szCs w:val="20"/>
          <w:color w:val="auto"/>
        </w:rPr>
        <w:t xml:space="preserve">”) and the California Fair Employment and Housing Act (as amended). </w:t>
      </w:r>
      <w:r>
        <w:rPr>
          <w:rFonts w:ascii="Arial" w:cs="Arial" w:eastAsia="Arial" w:hAnsi="Arial"/>
          <w:sz w:val="20"/>
          <w:szCs w:val="20"/>
          <w:b w:val="1"/>
          <w:bCs w:val="1"/>
          <w:color w:val="auto"/>
        </w:rPr>
        <w:t>You acknowledge that you</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have been advised, as required by California Government Code Section 12964.5(b)(4), that you have the right to consult an attorney regarding this Agreement and that you were given a reasonable time period (of at least twenty-one (21) days) in which to do so. </w:t>
      </w:r>
      <w:r>
        <w:rPr>
          <w:rFonts w:ascii="Arial" w:cs="Arial" w:eastAsia="Arial" w:hAnsi="Arial"/>
          <w:sz w:val="20"/>
          <w:szCs w:val="20"/>
          <w:color w:val="auto"/>
        </w:rPr>
        <w:t>You further acknowledge and agree that, in the event you sign this Agreement prior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end of the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89" w:lineRule="exact"/>
        <w:rPr>
          <w:sz w:val="20"/>
          <w:szCs w:val="20"/>
          <w:color w:val="auto"/>
        </w:rPr>
      </w:pPr>
    </w:p>
    <w:p>
      <w:pPr>
        <w:ind w:left="2032" w:hanging="430"/>
        <w:spacing w:after="0"/>
        <w:tabs>
          <w:tab w:leader="none" w:pos="2032" w:val="left"/>
        </w:tabs>
        <w:numPr>
          <w:ilvl w:val="0"/>
          <w:numId w:val="63"/>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ADEA Release. </w:t>
      </w:r>
      <w:r>
        <w:rPr>
          <w:rFonts w:ascii="Arial" w:cs="Arial" w:eastAsia="Arial" w:hAnsi="Arial"/>
          <w:sz w:val="20"/>
          <w:szCs w:val="20"/>
          <w:color w:val="auto"/>
        </w:rPr>
        <w:t>You acknowledge that you are knowingly and voluntarily waiving and releasing any</w:t>
      </w:r>
    </w:p>
    <w:p>
      <w:pPr>
        <w:spacing w:after="0" w:line="29" w:lineRule="exact"/>
        <w:rPr>
          <w:sz w:val="20"/>
          <w:szCs w:val="20"/>
          <w:color w:val="auto"/>
        </w:rPr>
      </w:pPr>
    </w:p>
    <w:p>
      <w:pPr>
        <w:jc w:val="both"/>
        <w:ind w:left="112"/>
        <w:spacing w:after="0" w:line="229" w:lineRule="auto"/>
        <w:rPr>
          <w:sz w:val="20"/>
          <w:szCs w:val="20"/>
          <w:color w:val="auto"/>
        </w:rPr>
      </w:pPr>
      <w:r>
        <w:rPr>
          <w:rFonts w:ascii="Arial" w:cs="Arial" w:eastAsia="Arial" w:hAnsi="Arial"/>
          <w:sz w:val="20"/>
          <w:szCs w:val="20"/>
          <w:color w:val="auto"/>
        </w:rPr>
        <w:t>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arising after the date you sign this Agreement; (b) you should consult with an attorney prior to signing this Agreement (although you may choose voluntarily not to do so); (c) you have at least [twenty-one (21)]</w:t>
      </w:r>
      <w:r>
        <w:rPr>
          <w:rFonts w:ascii="Arial" w:cs="Arial" w:eastAsia="Arial" w:hAnsi="Arial"/>
          <w:sz w:val="13"/>
          <w:szCs w:val="13"/>
          <w:color w:val="auto"/>
        </w:rPr>
        <w:t>4</w:t>
      </w:r>
      <w:r>
        <w:rPr>
          <w:rFonts w:ascii="Arial" w:cs="Arial" w:eastAsia="Arial" w:hAnsi="Arial"/>
          <w:sz w:val="20"/>
          <w:szCs w:val="20"/>
          <w:color w:val="auto"/>
        </w:rPr>
        <w:t xml:space="preserve">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w:t>
      </w:r>
    </w:p>
    <w:p>
      <w:pPr>
        <w:spacing w:after="0" w:line="199" w:lineRule="exact"/>
        <w:rPr>
          <w:sz w:val="20"/>
          <w:szCs w:val="20"/>
          <w:color w:val="auto"/>
        </w:rPr>
      </w:pPr>
    </w:p>
    <w:p>
      <w:pPr>
        <w:ind w:left="2032" w:hanging="430"/>
        <w:spacing w:after="0"/>
        <w:tabs>
          <w:tab w:leader="none" w:pos="2032" w:val="left"/>
        </w:tabs>
        <w:numPr>
          <w:ilvl w:val="0"/>
          <w:numId w:val="64"/>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Section 1542 Waiver. </w:t>
      </w:r>
      <w:r>
        <w:rPr>
          <w:rFonts w:ascii="Arial" w:cs="Arial" w:eastAsia="Arial" w:hAnsi="Arial"/>
          <w:sz w:val="20"/>
          <w:szCs w:val="20"/>
          <w:color w:val="auto"/>
        </w:rPr>
        <w:t>In giving the release herein, which includes claims which may be unknown to</w:t>
      </w:r>
    </w:p>
    <w:p>
      <w:pPr>
        <w:spacing w:after="0" w:line="29" w:lineRule="exact"/>
        <w:rPr>
          <w:sz w:val="20"/>
          <w:szCs w:val="20"/>
          <w:color w:val="auto"/>
        </w:rPr>
      </w:pPr>
    </w:p>
    <w:p>
      <w:pPr>
        <w:ind w:left="112"/>
        <w:spacing w:after="0" w:line="242" w:lineRule="auto"/>
        <w:rPr>
          <w:sz w:val="20"/>
          <w:szCs w:val="20"/>
          <w:color w:val="auto"/>
        </w:rPr>
      </w:pPr>
      <w:r>
        <w:rPr>
          <w:rFonts w:ascii="Arial" w:cs="Arial" w:eastAsia="Arial" w:hAnsi="Arial"/>
          <w:sz w:val="20"/>
          <w:szCs w:val="20"/>
          <w:color w:val="auto"/>
        </w:rPr>
        <w:t>you at present, you acknowledge that you have read and understand Section 1542 of the California Civil Code, which reads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40005</wp:posOffset>
            </wp:positionV>
            <wp:extent cx="1688465" cy="508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48" w:lineRule="exact"/>
        <w:rPr>
          <w:sz w:val="20"/>
          <w:szCs w:val="20"/>
          <w:color w:val="auto"/>
        </w:rPr>
      </w:pPr>
    </w:p>
    <w:p>
      <w:pPr>
        <w:ind w:left="112" w:hanging="112"/>
        <w:spacing w:after="0"/>
        <w:tabs>
          <w:tab w:leader="none" w:pos="112" w:val="left"/>
        </w:tabs>
        <w:numPr>
          <w:ilvl w:val="0"/>
          <w:numId w:val="65"/>
        </w:numPr>
        <w:rPr>
          <w:rFonts w:ascii="Arial" w:cs="Arial" w:eastAsia="Arial" w:hAnsi="Arial"/>
          <w:sz w:val="24"/>
          <w:szCs w:val="24"/>
          <w:color w:val="auto"/>
          <w:vertAlign w:val="superscript"/>
        </w:rPr>
      </w:pPr>
      <w:r>
        <w:rPr>
          <w:rFonts w:ascii="Arial" w:cs="Arial" w:eastAsia="Arial" w:hAnsi="Arial"/>
          <w:sz w:val="18"/>
          <w:szCs w:val="18"/>
          <w:color w:val="auto"/>
        </w:rPr>
        <w:t>To be 45 days if so required by applicable law.</w:t>
      </w:r>
    </w:p>
    <w:p>
      <w:pPr>
        <w:jc w:val="center"/>
        <w:ind w:right="-11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486410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440" w:right="4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740" w:right="760"/>
        <w:spacing w:after="0" w:line="247" w:lineRule="auto"/>
        <w:rPr>
          <w:sz w:val="20"/>
          <w:szCs w:val="20"/>
          <w:color w:val="auto"/>
        </w:rPr>
      </w:pPr>
      <w:r>
        <w:rPr>
          <w:rFonts w:ascii="Arial" w:cs="Arial" w:eastAsia="Arial" w:hAnsi="Arial"/>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You hereby expressly waive and relinquish all rights and benefits under that section and any law of any other jurisdiction of similar effect with respect to your release of claims herein, including but not limited to your release of unknown claims.</w:t>
      </w:r>
    </w:p>
    <w:p>
      <w:pPr>
        <w:spacing w:after="0" w:line="153" w:lineRule="exact"/>
        <w:rPr>
          <w:sz w:val="20"/>
          <w:szCs w:val="20"/>
          <w:color w:val="auto"/>
        </w:rPr>
      </w:pPr>
    </w:p>
    <w:p>
      <w:pPr>
        <w:ind w:left="1920" w:hanging="430"/>
        <w:spacing w:after="0"/>
        <w:tabs>
          <w:tab w:leader="none" w:pos="1920" w:val="left"/>
        </w:tabs>
        <w:numPr>
          <w:ilvl w:val="0"/>
          <w:numId w:val="66"/>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Exceptions. </w:t>
      </w:r>
      <w:r>
        <w:rPr>
          <w:rFonts w:ascii="Arial" w:cs="Arial" w:eastAsia="Arial" w:hAnsi="Arial"/>
          <w:sz w:val="20"/>
          <w:szCs w:val="20"/>
          <w:color w:val="auto"/>
        </w:rPr>
        <w:t>Notwithstanding the foregoing, you are not releasing the Company hereby from: (i) any</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(iii) any claims for breach of this Agreement; (iv) any claims arising after you sign this Agreement; (v) any claims arising under this Agreement; and (vi) any claims for unpaid amounts specified in Section 5 above.</w:t>
      </w:r>
    </w:p>
    <w:p>
      <w:pPr>
        <w:spacing w:after="0" w:line="177" w:lineRule="exact"/>
        <w:rPr>
          <w:sz w:val="20"/>
          <w:szCs w:val="20"/>
          <w:color w:val="auto"/>
        </w:rPr>
      </w:pPr>
    </w:p>
    <w:p>
      <w:pPr>
        <w:ind w:left="1920" w:hanging="430"/>
        <w:spacing w:after="0"/>
        <w:tabs>
          <w:tab w:leader="none" w:pos="1920" w:val="left"/>
        </w:tabs>
        <w:numPr>
          <w:ilvl w:val="0"/>
          <w:numId w:val="67"/>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Protected Rights. </w:t>
      </w:r>
      <w:r>
        <w:rPr>
          <w:rFonts w:ascii="Arial" w:cs="Arial" w:eastAsia="Arial" w:hAnsi="Arial"/>
          <w:sz w:val="20"/>
          <w:szCs w:val="20"/>
          <w:color w:val="auto"/>
        </w:rPr>
        <w:t>You understand that nothing in this Agreement limits your ability to file a charge or</w:t>
      </w:r>
    </w:p>
    <w:p>
      <w:pPr>
        <w:spacing w:after="0" w:line="29" w:lineRule="exact"/>
        <w:rPr>
          <w:sz w:val="20"/>
          <w:szCs w:val="20"/>
          <w:color w:val="auto"/>
        </w:rPr>
      </w:pPr>
    </w:p>
    <w:p>
      <w:pPr>
        <w:jc w:val="both"/>
        <w:spacing w:after="0"/>
        <w:rPr>
          <w:sz w:val="20"/>
          <w:szCs w:val="20"/>
          <w:color w:val="auto"/>
        </w:rPr>
      </w:pPr>
      <w:r>
        <w:rPr>
          <w:rFonts w:ascii="Arial" w:cs="Arial" w:eastAsia="Arial" w:hAnsi="Arial"/>
          <w:sz w:val="19"/>
          <w:szCs w:val="19"/>
          <w:color w:val="auto"/>
        </w:rPr>
        <w:t>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w:t>
      </w:r>
      <w:r>
        <w:rPr>
          <w:rFonts w:ascii="Arial" w:cs="Arial" w:eastAsia="Arial" w:hAnsi="Arial"/>
          <w:sz w:val="19"/>
          <w:szCs w:val="19"/>
          <w:color w:val="auto"/>
        </w:rPr>
        <w:t xml:space="preserve"> </w:t>
      </w:r>
      <w:r>
        <w:rPr>
          <w:rFonts w:ascii="Arial" w:cs="Arial" w:eastAsia="Arial" w:hAnsi="Arial"/>
          <w:sz w:val="19"/>
          <w:szCs w:val="19"/>
          <w:b w:val="1"/>
          <w:bCs w:val="1"/>
          <w:color w:val="auto"/>
        </w:rPr>
        <w:t>Agencies</w:t>
      </w:r>
      <w:r>
        <w:rPr>
          <w:rFonts w:ascii="Arial" w:cs="Arial" w:eastAsia="Arial" w:hAnsi="Arial"/>
          <w:sz w:val="19"/>
          <w:szCs w:val="19"/>
          <w:color w:val="auto"/>
        </w:rPr>
        <w:t>”). You further understand this Agreement does not limit your ability to communicate with any Government Agencies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spacing w:after="0" w:line="186"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8.</w:t>
      </w:r>
      <w:r>
        <w:rPr>
          <w:rFonts w:ascii="Arial" w:cs="Arial" w:eastAsia="Arial" w:hAnsi="Arial"/>
          <w:sz w:val="20"/>
          <w:szCs w:val="20"/>
          <w:b w:val="1"/>
          <w:bCs w:val="1"/>
          <w:color w:val="auto"/>
        </w:rPr>
        <w:t>RETURN OF COMPANY PROPERTY.</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represent that you have returned to the Company all Company</w:t>
      </w:r>
    </w:p>
    <w:p>
      <w:pPr>
        <w:spacing w:after="0" w:line="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documents (and all copies thereof) and other Company property previously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which contain or embody any proprietary or confidential information of the Company (and all reproductions or embodiments thereof in whole or in part). You represent that you have made a diligent search to locate any such documents, property and information. If you have used any personally owned computer or other electronic device, server, or e-mail system to receive, store, review, prepare or transmit any Company confidential or proprietary data, materials or information, you agree to provide the Company with a computer-useable copy of such information and then permanently delete and expunge such Company confidential or proprietary information from those systems; and you agree to provide the Company access to your system as requested to verify that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19" w:name="page120"/>
    <w:bookmarkEnd w:id="119"/>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 xml:space="preserve">necessary copying and/or deletion is completed. </w:t>
      </w:r>
      <w:r>
        <w:rPr>
          <w:rFonts w:ascii="Arial" w:cs="Arial" w:eastAsia="Arial" w:hAnsi="Arial"/>
          <w:sz w:val="20"/>
          <w:szCs w:val="20"/>
          <w:b w:val="1"/>
          <w:bCs w:val="1"/>
          <w:color w:val="auto"/>
        </w:rPr>
        <w:t>Your timely compliance with this paragraph is a condition to your</w:t>
      </w:r>
      <w:r>
        <w:rPr>
          <w:rFonts w:ascii="Arial" w:cs="Arial" w:eastAsia="Arial" w:hAnsi="Arial"/>
          <w:sz w:val="20"/>
          <w:szCs w:val="20"/>
          <w:color w:val="auto"/>
        </w:rPr>
        <w:t xml:space="preserve"> </w:t>
      </w:r>
      <w:r>
        <w:rPr>
          <w:rFonts w:ascii="Arial" w:cs="Arial" w:eastAsia="Arial" w:hAnsi="Arial"/>
          <w:sz w:val="20"/>
          <w:szCs w:val="20"/>
          <w:b w:val="1"/>
          <w:bCs w:val="1"/>
          <w:color w:val="auto"/>
        </w:rPr>
        <w:t>receipt of the benefits provided under this Agreement.</w:t>
      </w:r>
    </w:p>
    <w:p>
      <w:pPr>
        <w:spacing w:after="0" w:line="144"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9.</w:t>
      </w:r>
      <w:r>
        <w:rPr>
          <w:rFonts w:ascii="Arial" w:cs="Arial" w:eastAsia="Arial" w:hAnsi="Arial"/>
          <w:sz w:val="20"/>
          <w:szCs w:val="20"/>
          <w:b w:val="1"/>
          <w:bCs w:val="1"/>
          <w:color w:val="auto"/>
        </w:rPr>
        <w:t>C</w:t>
      </w:r>
      <w:r>
        <w:rPr>
          <w:rFonts w:ascii="Arial" w:cs="Arial" w:eastAsia="Arial" w:hAnsi="Arial"/>
          <w:sz w:val="13"/>
          <w:szCs w:val="13"/>
          <w:b w:val="1"/>
          <w:bCs w:val="1"/>
          <w:color w:val="auto"/>
        </w:rPr>
        <w:t>onfidential</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I</w:t>
      </w:r>
      <w:r>
        <w:rPr>
          <w:rFonts w:ascii="Arial" w:cs="Arial" w:eastAsia="Arial" w:hAnsi="Arial"/>
          <w:sz w:val="13"/>
          <w:szCs w:val="13"/>
          <w:b w:val="1"/>
          <w:bCs w:val="1"/>
          <w:color w:val="auto"/>
        </w:rPr>
        <w:t>nformation</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O</w:t>
      </w:r>
      <w:r>
        <w:rPr>
          <w:rFonts w:ascii="Arial" w:cs="Arial" w:eastAsia="Arial" w:hAnsi="Arial"/>
          <w:sz w:val="13"/>
          <w:szCs w:val="13"/>
          <w:b w:val="1"/>
          <w:bCs w:val="1"/>
          <w:color w:val="auto"/>
        </w:rPr>
        <w:t>bligations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acknowledge and reaffirm your continuing obligations under your</w:t>
      </w:r>
    </w:p>
    <w:p>
      <w:pPr>
        <w:spacing w:after="0" w:line="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Employee Confidential Information and Inventions Assignment Agreement, a copy of which is attached hereto as Exhibit B and incorporated herein by reference.</w:t>
      </w:r>
    </w:p>
    <w:p>
      <w:pPr>
        <w:spacing w:after="0" w:line="18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10.</w:t>
      </w:r>
      <w:r>
        <w:rPr>
          <w:rFonts w:ascii="Arial" w:cs="Arial" w:eastAsia="Arial" w:hAnsi="Arial"/>
          <w:sz w:val="20"/>
          <w:szCs w:val="20"/>
          <w:b w:val="1"/>
          <w:bCs w:val="1"/>
          <w:color w:val="auto"/>
        </w:rPr>
        <w:t>N</w:t>
      </w:r>
      <w:r>
        <w:rPr>
          <w:rFonts w:ascii="Arial" w:cs="Arial" w:eastAsia="Arial" w:hAnsi="Arial"/>
          <w:sz w:val="13"/>
          <w:szCs w:val="13"/>
          <w:b w:val="1"/>
          <w:bCs w:val="1"/>
          <w:color w:val="auto"/>
        </w:rPr>
        <w:t>on</w:t>
      </w:r>
      <w:r>
        <w:rPr>
          <w:rFonts w:ascii="Arial" w:cs="Arial" w:eastAsia="Arial" w:hAnsi="Arial"/>
          <w:sz w:val="20"/>
          <w:szCs w:val="20"/>
          <w:b w:val="1"/>
          <w:bCs w:val="1"/>
          <w:color w:val="auto"/>
        </w:rPr>
        <w:t>-</w:t>
      </w:r>
      <w:r>
        <w:rPr>
          <w:rFonts w:ascii="Arial" w:cs="Arial" w:eastAsia="Arial" w:hAnsi="Arial"/>
          <w:sz w:val="13"/>
          <w:szCs w:val="13"/>
          <w:b w:val="1"/>
          <w:bCs w:val="1"/>
          <w:color w:val="auto"/>
        </w:rPr>
        <w:t>disparagement</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not to disparage the Company, its officers, directors, employees, stockholders,</w:t>
      </w:r>
    </w:p>
    <w:p>
      <w:pPr>
        <w:spacing w:after="0" w:line="2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is intended to prohibit or restrain you in any manner from making disclosures protected under the whistleblower provisions of federal or state law or regulation or other applicable law or regulation or as set forth in the section of this Agreement entitled “Protected Rights.” In response to any reference request from a prospective employer, the Company will only confirm your dates of employment and positions held. The Company agrees not to disparage you in any manner likely to be harmful to your business, business reputation, or personal reputation; provided that the Company may respond accurately and fully to any request for information if required by legal process or in connection with a government investigation.</w:t>
      </w:r>
    </w:p>
    <w:p>
      <w:pPr>
        <w:spacing w:after="0" w:line="204"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11.</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V</w:t>
      </w:r>
      <w:r>
        <w:rPr>
          <w:rFonts w:ascii="Arial" w:cs="Arial" w:eastAsia="Arial" w:hAnsi="Arial"/>
          <w:sz w:val="13"/>
          <w:szCs w:val="13"/>
          <w:b w:val="1"/>
          <w:bCs w:val="1"/>
          <w:color w:val="auto"/>
        </w:rPr>
        <w:t>oluntary</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dverse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ction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agree that you will not voluntarily (except in response to legal compulsion or as</w:t>
      </w:r>
    </w:p>
    <w:p>
      <w:pPr>
        <w:spacing w:after="0" w:line="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expressly permitted under the section of this Agreement entitled “Protected Rights”, Section 7(f))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69"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12.</w:t>
      </w:r>
      <w:r>
        <w:rPr>
          <w:rFonts w:ascii="Arial" w:cs="Arial" w:eastAsia="Arial" w:hAnsi="Arial"/>
          <w:sz w:val="20"/>
          <w:szCs w:val="20"/>
          <w:b w:val="1"/>
          <w:bCs w:val="1"/>
          <w:color w:val="auto"/>
        </w:rPr>
        <w:t>C</w:t>
      </w:r>
      <w:r>
        <w:rPr>
          <w:rFonts w:ascii="Arial" w:cs="Arial" w:eastAsia="Arial" w:hAnsi="Arial"/>
          <w:sz w:val="13"/>
          <w:szCs w:val="13"/>
          <w:b w:val="1"/>
          <w:bCs w:val="1"/>
          <w:color w:val="auto"/>
        </w:rPr>
        <w:t>ooperation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If requested by the Company, you agree to reasonably cooperate with the Company in connection</w:t>
      </w:r>
    </w:p>
    <w:p>
      <w:pPr>
        <w:spacing w:after="0" w:line="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with its actual or 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18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13.</w:t>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dmissions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understand and agree that the promises and payments in consideration of this Agreement</w:t>
      </w:r>
    </w:p>
    <w:p>
      <w:pPr>
        <w:spacing w:after="0" w:line="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shall not be construed to be an admission of any liability or obligation by the Company to you or to any other person, and that the Company makes no such admission.</w:t>
      </w:r>
    </w:p>
    <w:p>
      <w:pPr>
        <w:spacing w:after="0" w:line="181"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14.</w:t>
      </w: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hereby represent that you have: been paid all compensation owed and for all hours worked;</w:t>
      </w:r>
    </w:p>
    <w:p>
      <w:pPr>
        <w:spacing w:after="0" w:line="29"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spacing w:after="0" w:line="169"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15.</w:t>
      </w:r>
      <w:r>
        <w:rPr>
          <w:rFonts w:ascii="Arial" w:cs="Arial" w:eastAsia="Arial" w:hAnsi="Arial"/>
          <w:sz w:val="20"/>
          <w:szCs w:val="20"/>
          <w:b w:val="1"/>
          <w:bCs w:val="1"/>
          <w:color w:val="auto"/>
        </w:rPr>
        <w:t>D</w:t>
      </w:r>
      <w:r>
        <w:rPr>
          <w:rFonts w:ascii="Arial" w:cs="Arial" w:eastAsia="Arial" w:hAnsi="Arial"/>
          <w:sz w:val="13"/>
          <w:szCs w:val="13"/>
          <w:b w:val="1"/>
          <w:bCs w:val="1"/>
          <w:color w:val="auto"/>
        </w:rPr>
        <w:t>ispute</w:t>
      </w:r>
      <w:r>
        <w:rPr>
          <w:rFonts w:ascii="Calibri" w:cs="Calibri" w:eastAsia="Calibri" w:hAnsi="Calibri"/>
          <w:sz w:val="20"/>
          <w:szCs w:val="20"/>
          <w:b w:val="1"/>
          <w:bCs w:val="1"/>
          <w:color w:val="auto"/>
        </w:rPr>
        <w:t xml:space="preserve"> </w:t>
      </w:r>
      <w:r>
        <w:rPr>
          <w:rFonts w:ascii="Arial" w:cs="Arial" w:eastAsia="Arial" w:hAnsi="Arial"/>
          <w:sz w:val="20"/>
          <w:szCs w:val="20"/>
          <w:b w:val="1"/>
          <w:bCs w:val="1"/>
          <w:color w:val="auto"/>
        </w:rPr>
        <w:t>R</w:t>
      </w:r>
      <w:r>
        <w:rPr>
          <w:rFonts w:ascii="Arial" w:cs="Arial" w:eastAsia="Arial" w:hAnsi="Arial"/>
          <w:sz w:val="13"/>
          <w:szCs w:val="13"/>
          <w:b w:val="1"/>
          <w:bCs w:val="1"/>
          <w:color w:val="auto"/>
        </w:rPr>
        <w:t>esolution</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You and the Company agree that any and all disputes, claims, or controversies of any nature</w:t>
      </w:r>
    </w:p>
    <w:p>
      <w:pPr>
        <w:spacing w:after="0" w:line="2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whatsoever arising from, or relating to, this Agreement or its interpretation, enforcement, breach, performance or execution, your employment or the termination of such</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0" w:name="page121"/>
    <w:bookmarkEnd w:id="120"/>
    <w:p>
      <w:pPr>
        <w:spacing w:after="0" w:line="200" w:lineRule="exact"/>
        <w:rPr>
          <w:sz w:val="20"/>
          <w:szCs w:val="20"/>
          <w:color w:val="auto"/>
        </w:rPr>
      </w:pPr>
    </w:p>
    <w:p>
      <w:pPr>
        <w:spacing w:after="0" w:line="220" w:lineRule="exact"/>
        <w:rPr>
          <w:sz w:val="20"/>
          <w:szCs w:val="20"/>
          <w:color w:val="auto"/>
        </w:rPr>
      </w:pPr>
    </w:p>
    <w:p>
      <w:pPr>
        <w:jc w:val="both"/>
        <w:spacing w:after="0" w:line="218" w:lineRule="exact"/>
        <w:rPr>
          <w:sz w:val="20"/>
          <w:szCs w:val="20"/>
          <w:color w:val="auto"/>
        </w:rPr>
      </w:pPr>
      <w:r>
        <w:rPr>
          <w:rFonts w:ascii="Arial" w:cs="Arial" w:eastAsia="Arial" w:hAnsi="Arial"/>
          <w:sz w:val="20"/>
          <w:szCs w:val="20"/>
          <w:color w:val="auto"/>
        </w:rPr>
        <w:t>employment (including, but not limited to, any statutory claims), shall be resolved pursuant to the Federal Arbitration Act, 9 U.S.C. § 1</w:t>
      </w:r>
      <w:r>
        <w:rPr>
          <w:rFonts w:ascii="MS PGothic" w:cs="MS PGothic" w:eastAsia="MS PGothic" w:hAnsi="MS PGothic"/>
          <w:sz w:val="20"/>
          <w:szCs w:val="20"/>
          <w:color w:val="auto"/>
        </w:rPr>
        <w:t>‐</w:t>
      </w:r>
      <w:r>
        <w:rPr>
          <w:rFonts w:ascii="Arial" w:cs="Arial" w:eastAsia="Arial" w:hAnsi="Arial"/>
          <w:sz w:val="20"/>
          <w:szCs w:val="20"/>
          <w:color w:val="auto"/>
        </w:rPr>
        <w:t>16, to the fullest extent permitted by law, by final, binding and confidential arbitration conducted by JAMS or its successor, under JAMS’ then applicable rules and procedures for employment disputes before a single arbitrator (available upon request and also currently available at http://www.jamsadr.com/rules</w:t>
      </w:r>
      <w:r>
        <w:rPr>
          <w:rFonts w:ascii="MS PGothic" w:cs="MS PGothic" w:eastAsia="MS PGothic" w:hAnsi="MS PGothic"/>
          <w:sz w:val="20"/>
          <w:szCs w:val="20"/>
          <w:color w:val="auto"/>
        </w:rPr>
        <w:t>‐</w:t>
      </w:r>
      <w:r>
        <w:rPr>
          <w:rFonts w:ascii="Arial" w:cs="Arial" w:eastAsia="Arial" w:hAnsi="Arial"/>
          <w:sz w:val="20"/>
          <w:szCs w:val="20"/>
          <w:color w:val="auto"/>
        </w:rPr>
        <w:t>employment</w:t>
      </w:r>
      <w:r>
        <w:rPr>
          <w:rFonts w:ascii="MS PGothic" w:cs="MS PGothic" w:eastAsia="MS PGothic" w:hAnsi="MS PGothic"/>
          <w:sz w:val="20"/>
          <w:szCs w:val="20"/>
          <w:color w:val="auto"/>
        </w:rPr>
        <w:t>‐</w:t>
      </w:r>
      <w:r>
        <w:rPr>
          <w:rFonts w:ascii="Arial" w:cs="Arial" w:eastAsia="Arial" w:hAnsi="Arial"/>
          <w:sz w:val="20"/>
          <w:szCs w:val="20"/>
          <w:color w:val="auto"/>
        </w:rPr>
        <w:t xml:space="preserve">arbitration/) at a location closest to where you last worked for the Company provided that such location will be within fifty (50) miles of your last principal place of employment with the Company. </w:t>
      </w:r>
      <w:r>
        <w:rPr>
          <w:rFonts w:ascii="Arial" w:cs="Arial" w:eastAsia="Arial" w:hAnsi="Arial"/>
          <w:sz w:val="20"/>
          <w:szCs w:val="20"/>
          <w:b w:val="1"/>
          <w:bCs w:val="1"/>
          <w:color w:val="auto"/>
        </w:rPr>
        <w:t>You acknowledge that by agreeing to this arbitration procedure, both you and the</w:t>
      </w:r>
      <w:r>
        <w:rPr>
          <w:rFonts w:ascii="Arial" w:cs="Arial" w:eastAsia="Arial" w:hAnsi="Arial"/>
          <w:sz w:val="20"/>
          <w:szCs w:val="20"/>
          <w:color w:val="auto"/>
        </w:rPr>
        <w:t xml:space="preserve"> </w:t>
      </w:r>
      <w:r>
        <w:rPr>
          <w:rFonts w:ascii="Arial" w:cs="Arial" w:eastAsia="Arial" w:hAnsi="Arial"/>
          <w:sz w:val="20"/>
          <w:szCs w:val="20"/>
          <w:b w:val="1"/>
          <w:bCs w:val="1"/>
          <w:color w:val="auto"/>
        </w:rPr>
        <w:t>Company waive the right to resolve any such dispute through a trial by jury or judge</w:t>
      </w:r>
      <w:r>
        <w:rPr>
          <w:rFonts w:ascii="Arial" w:cs="Arial" w:eastAsia="Arial" w:hAnsi="Arial"/>
          <w:sz w:val="20"/>
          <w:szCs w:val="20"/>
          <w:color w:val="auto"/>
        </w:rPr>
        <w:t>. In addition, all claims,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w:t>
      </w:r>
      <w:r>
        <w:rPr>
          <w:rFonts w:ascii="Arial" w:cs="Arial" w:eastAsia="Arial" w:hAnsi="Arial"/>
          <w:sz w:val="20"/>
          <w:szCs w:val="20"/>
          <w:b w:val="1"/>
          <w:bCs w:val="1"/>
          <w:i w:val="1"/>
          <w:iCs w:val="1"/>
          <w:color w:val="auto"/>
        </w:rPr>
        <w:t>Excluded Claims</w:t>
      </w:r>
      <w:r>
        <w:rPr>
          <w:rFonts w:ascii="Arial" w:cs="Arial" w:eastAsia="Arial" w:hAnsi="Arial"/>
          <w:sz w:val="20"/>
          <w:szCs w:val="20"/>
          <w:color w:val="auto"/>
        </w:rPr>
        <w:t>”).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07" w:lineRule="exact"/>
        <w:rPr>
          <w:sz w:val="20"/>
          <w:szCs w:val="20"/>
          <w:color w:val="auto"/>
        </w:rPr>
      </w:pPr>
    </w:p>
    <w:p>
      <w:pPr>
        <w:ind w:left="740"/>
        <w:spacing w:after="0"/>
        <w:rPr>
          <w:sz w:val="20"/>
          <w:szCs w:val="20"/>
          <w:color w:val="auto"/>
        </w:rPr>
      </w:pPr>
      <w:r>
        <w:rPr>
          <w:rFonts w:ascii="Calibri" w:cs="Calibri" w:eastAsia="Calibri" w:hAnsi="Calibri"/>
          <w:sz w:val="20"/>
          <w:szCs w:val="20"/>
          <w:b w:val="1"/>
          <w:bCs w:val="1"/>
          <w:color w:val="auto"/>
        </w:rPr>
        <w:t>16.</w:t>
      </w: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r>
        <w:rPr>
          <w:rFonts w:ascii="Calibri" w:cs="Calibri" w:eastAsia="Calibri" w:hAnsi="Calibri"/>
          <w:sz w:val="20"/>
          <w:szCs w:val="20"/>
          <w:b w:val="1"/>
          <w:bCs w:val="1"/>
          <w:color w:val="auto"/>
        </w:rPr>
        <w:t xml:space="preserve"> </w:t>
      </w:r>
      <w:r>
        <w:rPr>
          <w:rFonts w:ascii="Arial" w:cs="Arial" w:eastAsia="Arial" w:hAnsi="Arial"/>
          <w:sz w:val="20"/>
          <w:szCs w:val="20"/>
          <w:color w:val="auto"/>
        </w:rPr>
        <w:t>This Agreement, including Exhibit B, constitutes the complete, final and exclusive embodiment of</w:t>
      </w:r>
    </w:p>
    <w:p>
      <w:pPr>
        <w:spacing w:after="0" w:line="2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486410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1" w:name="page122"/>
    <w:bookmarkEnd w:id="121"/>
    <w:p>
      <w:pPr>
        <w:spacing w:after="0" w:line="200" w:lineRule="exact"/>
        <w:rPr>
          <w:sz w:val="20"/>
          <w:szCs w:val="20"/>
          <w:color w:val="auto"/>
        </w:rPr>
      </w:pPr>
    </w:p>
    <w:p>
      <w:pPr>
        <w:spacing w:after="0" w:line="22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If this Agreement is acceptable to you, please sign below and return the original to me. This Agreement must become effective and irrevocable no later than sixty (60) days following the Separation Date in order for you to receive the severance benefits described herein, and the Company will have no obligation to provide such benefits if this Agreement does not become effective and irrevocable within that timeframe.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We wish you the best in your future endeavors.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-11430</wp:posOffset>
            </wp:positionV>
            <wp:extent cx="977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ind w:left="740"/>
        <w:spacing w:after="0"/>
        <w:rPr>
          <w:sz w:val="20"/>
          <w:szCs w:val="20"/>
          <w:color w:val="auto"/>
        </w:rPr>
      </w:pPr>
      <w:r>
        <w:rPr>
          <w:rFonts w:ascii="Arial" w:cs="Arial" w:eastAsia="Arial" w:hAnsi="Arial"/>
          <w:sz w:val="20"/>
          <w:szCs w:val="20"/>
          <w:b w:val="1"/>
          <w:bCs w:val="1"/>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 </w:t>
      </w:r>
      <w:r>
        <w:rPr>
          <w:rFonts w:ascii="Arial" w:cs="Arial" w:eastAsia="Arial" w:hAnsi="Arial"/>
          <w:sz w:val="13"/>
          <w:szCs w:val="13"/>
          <w:b w:val="1"/>
          <w:bCs w:val="1"/>
          <w:color w:val="auto"/>
        </w:rPr>
        <w:t>have read</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understand and agree fully to the foregoing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Mayo Pujols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497840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xhibit</w:t>
      </w:r>
      <w:r>
        <w:rPr>
          <w:rFonts w:ascii="Arial" w:cs="Arial" w:eastAsia="Arial" w:hAnsi="Arial"/>
          <w:sz w:val="20"/>
          <w:szCs w:val="20"/>
          <w:b w:val="1"/>
          <w:bCs w:val="1"/>
          <w:color w:val="auto"/>
        </w:rPr>
        <w:t xml:space="preserve"> 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EMPLOYEE CONFIDENTIAL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Warner Biddle, hereby certify that:</w:t>
      </w:r>
    </w:p>
    <w:p>
      <w:pPr>
        <w:spacing w:after="0" w:line="225"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Kyverna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Grasso, hereby certify that:</w:t>
      </w:r>
    </w:p>
    <w:p>
      <w:pPr>
        <w:spacing w:after="0" w:line="225"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Kyverna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Marc Grasso</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Kyverna Therapeutics, Inc. (the “Company”) for the period ended March 31, 2026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Warner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Warner Biddle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Kyverna Therapeutics, Inc. (the “Company”) for the period ended March 31, 2026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Grasso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Marc Grasso</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lowerLetter"/>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lvl w:ilvl="1">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lowerRoman"/>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lowerLetter"/>
      <w:start w:val="1"/>
    </w:lvl>
  </w:abstractNum>
  <w:abstractNum w:abstractNumId="46">
    <w:nsid w:val="354FE9F9"/>
    <w:multiLevelType w:val="hybridMultilevel"/>
    <w:lvl w:ilvl="0">
      <w:lvlJc w:val="left"/>
      <w:lvlText w:val="*"/>
      <w:numFmt w:val="bullet"/>
      <w:start w:val="1"/>
    </w:lvl>
    <w:lvl w:ilvl="1">
      <w:lvlJc w:val="left"/>
      <w:lvlText w:val="%2"/>
      <w:numFmt w:val="decimal"/>
      <w:start w:val="104"/>
    </w:lvl>
  </w:abstractNum>
  <w:abstractNum w:abstractNumId="47">
    <w:nsid w:val="15B5AF5C"/>
    <w:multiLevelType w:val="hybridMultilevel"/>
    <w:lvl w:ilvl="0">
      <w:lvlJc w:val="left"/>
      <w:lvlText w:val="**"/>
      <w:numFmt w:val="bullet"/>
      <w:start w:val="1"/>
    </w:lvl>
    <w:lvl w:ilvl="1">
      <w:lvlJc w:val="left"/>
      <w:lvlText w:val="%2"/>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50">
    <w:nsid w:val="10233C99"/>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51">
    <w:nsid w:val="3F6AB60F"/>
    <w:multiLevelType w:val="hybridMultilevel"/>
    <w:lvl w:ilvl="0">
      <w:lvlJc w:val="left"/>
      <w:lvlText w:val="%1"/>
      <w:numFmt w:val="decimal"/>
      <w:start w:val="1"/>
    </w:lvl>
    <w:lvl w:ilvl="1">
      <w:lvlJc w:val="left"/>
      <w:lvlText w:val="(%2)"/>
      <w:numFmt w:val="upperLetter"/>
      <w:start w:val="3"/>
    </w:lvl>
  </w:abstractNum>
  <w:abstractNum w:abstractNumId="52">
    <w:nsid w:val="61574095"/>
    <w:multiLevelType w:val="hybridMultilevel"/>
    <w:lvl w:ilvl="0">
      <w:lvlJc w:val="left"/>
      <w:lvlText w:val="%1."/>
      <w:numFmt w:val="decimal"/>
      <w:start w:val="5"/>
    </w:lvl>
    <w:lvl w:ilvl="1">
      <w:lvlJc w:val="left"/>
      <w:lvlText w:val="%2"/>
      <w:numFmt w:val="upperLetter"/>
      <w:start w:val="1"/>
    </w:lvl>
  </w:abstractNum>
  <w:abstractNum w:abstractNumId="53">
    <w:nsid w:val="7E0C57B1"/>
    <w:multiLevelType w:val="hybridMultilevel"/>
    <w:lvl w:ilvl="0">
      <w:lvlJc w:val="left"/>
      <w:lvlText w:val="(%1)"/>
      <w:numFmt w:val="lowerLetter"/>
      <w:start w:val="2"/>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2"/>
    </w:lvl>
  </w:abstractNum>
  <w:abstractNum w:abstractNumId="56">
    <w:nsid w:val="310C50B3"/>
    <w:multiLevelType w:val="hybridMultilevel"/>
    <w:lvl w:ilvl="0">
      <w:lvlJc w:val="left"/>
      <w:lvlText w:val="1"/>
      <w:numFmt w:val="bullet"/>
      <w:start w:val="1"/>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2"/>
      <w:numFmt w:val="bullet"/>
      <w:start w:val="1"/>
    </w:lvl>
  </w:abstractNum>
  <w:abstractNum w:abstractNumId="59">
    <w:nsid w:val="25A70BF7"/>
    <w:multiLevelType w:val="hybridMultilevel"/>
    <w:lvl w:ilvl="0">
      <w:lvlJc w:val="left"/>
      <w:lvlText w:val="%1."/>
      <w:numFmt w:val="decimal"/>
      <w:start w:val="7"/>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2"/>
    </w:lvl>
  </w:abstractNum>
  <w:abstractNum w:abstractNumId="62">
    <w:nsid w:val="1F48EAA1"/>
    <w:multiLevelType w:val="hybridMultilevel"/>
    <w:lvl w:ilvl="0">
      <w:lvlJc w:val="left"/>
      <w:lvlText w:val="(%1)"/>
      <w:numFmt w:val="lowerLetter"/>
      <w:start w:val="3"/>
    </w:lvl>
  </w:abstractNum>
  <w:abstractNum w:abstractNumId="63">
    <w:nsid w:val="1381823A"/>
    <w:multiLevelType w:val="hybridMultilevel"/>
    <w:lvl w:ilvl="0">
      <w:lvlJc w:val="left"/>
      <w:lvlText w:val="(%1)"/>
      <w:numFmt w:val="lowerLetter"/>
      <w:start w:val="4"/>
    </w:lvl>
  </w:abstractNum>
  <w:abstractNum w:abstractNumId="64">
    <w:nsid w:val="5DB70AE5"/>
    <w:multiLevelType w:val="hybridMultilevel"/>
    <w:lvl w:ilvl="0">
      <w:lvlJc w:val="left"/>
      <w:lvlText w:val="4"/>
      <w:numFmt w:val="bullet"/>
      <w:start w:val="1"/>
    </w:lvl>
  </w:abstractNum>
  <w:abstractNum w:abstractNumId="65">
    <w:nsid w:val="100F8FCA"/>
    <w:multiLevelType w:val="hybridMultilevel"/>
    <w:lvl w:ilvl="0">
      <w:lvlJc w:val="left"/>
      <w:lvlText w:val="(%1)"/>
      <w:numFmt w:val="lowerLetter"/>
      <w:start w:val="5"/>
    </w:lvl>
  </w:abstractNum>
  <w:abstractNum w:abstractNumId="66">
    <w:nsid w:val="6590700B"/>
    <w:multiLevelType w:val="hybridMultilevel"/>
    <w:lvl w:ilvl="0">
      <w:lvlJc w:val="left"/>
      <w:lvlText w:val="(%1)"/>
      <w:numFmt w:val="lowerLetter"/>
      <w:start w:val="6"/>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jpe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jpe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272" Type="http://schemas.openxmlformats.org/officeDocument/2006/relationships/hyperlink" Target="https://www.sec.gov/Archives/edgar/data/1994702/000119312524032161/d765670dex31.htm" TargetMode="External"/><Relationship Id="rId273" Type="http://schemas.openxmlformats.org/officeDocument/2006/relationships/hyperlink" Target="https://www.sec.gov/Archives/edgar/data/1994702/000119312524032161/d765670dex32.htm" TargetMode="External"/><Relationship Id="rId274" Type="http://schemas.openxmlformats.org/officeDocument/2006/relationships/hyperlink" Target="https://www.sec.gov/Archives/edgar/data/1994702/000119312524008614/d5304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2026-05-12T15:27:07Z</dcterms:created>
  <dcterms:modified xsi:type="dcterms:W3CDTF">2026-05-12T15:27:07Z</dcterms:modified>
</cp:coreProperties>
</file>