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tx_10k_2023_1231.htm"/>
      <w:bookmarkStart w:id="1" w:name="kskytx_10k_2023_12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8" w:space="1" w:color="000000"/>
        </w:pBdr>
        <w:bidi w:val="0"/>
        <w:jc w:val="center"/>
        <w:rPr>
          <w:rFonts w:ascii="Times New Roman" w:hAnsi="Times New Roman"/>
          <w:color w:val="000000"/>
          <w:sz w:val="6"/>
        </w:rPr>
      </w:pPr>
      <w:r>
        <w:rPr>
          <w:rFonts w:ascii="Times New Roman" w:hAnsi="Times New Roman"/>
          <w:color w:val="000000"/>
          <w:sz w:val="6"/>
        </w:rPr>
        <w:t>j</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p>
            <w:pPr>
              <w:pStyle w:val="TableContents"/>
              <w:bidi w:val="0"/>
              <w:spacing w:before="60" w:after="283"/>
              <w:jc w:val="center"/>
              <w:rPr>
                <w:rFonts w:ascii="Times New Roman" w:hAnsi="Times New Roman"/>
                <w:sz w:val="16"/>
              </w:rPr>
            </w:pPr>
            <w:r>
              <w:rPr>
                <w:rFonts w:ascii="Times New Roman" w:hAnsi="Times New Roman"/>
                <w:b/>
                <w:color w:val="000000"/>
                <w:sz w:val="16"/>
              </w:rPr>
              <w:t>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001-41947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Kyverna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83-1365411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5980 Horton St., STE 550</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Emeryville,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94608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(510) 925-2492</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765" w:type="dxa"/>
        <w:jc w:val="left"/>
        <w:tblInd w:w="0" w:type="dxa"/>
        <w:tblLayout w:type="fixed"/>
        <w:tblCellMar>
          <w:top w:w="28" w:type="dxa"/>
          <w:left w:w="28" w:type="dxa"/>
          <w:bottom w:w="28" w:type="dxa"/>
          <w:right w:w="28" w:type="dxa"/>
        </w:tblCellMar>
      </w:tblPr>
      <w:tblGrid>
        <w:gridCol w:w="3331"/>
        <w:gridCol w:w="146"/>
        <w:gridCol w:w="826"/>
        <w:gridCol w:w="146"/>
        <w:gridCol w:w="3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3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KYTX</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72" w:type="dxa"/>
        <w:jc w:val="left"/>
        <w:tblInd w:w="0" w:type="dxa"/>
        <w:tblLayout w:type="fixed"/>
        <w:tblCellMar>
          <w:top w:w="28" w:type="dxa"/>
          <w:left w:w="28" w:type="dxa"/>
          <w:bottom w:w="28" w:type="dxa"/>
          <w:right w:w="28" w:type="dxa"/>
        </w:tblCellMar>
      </w:tblPr>
      <w:tblGrid>
        <w:gridCol w:w="1756"/>
        <w:gridCol w:w="146"/>
        <w:gridCol w:w="37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As of June 30, 2023, the last business day of the Registrant’s most recently completed second quarter, There was no established public trading market for the Registrant’s equity securities. The Registrant’s common stock began trading on the Nasdaq Global Select Market on February 8, 2024.</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March 22, 2024 was 43,115,244.</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None.</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49</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r>
              <w:rPr>
                <w:rFonts w:ascii="Times New Roman" w:hAnsi="Times New Roman"/>
                <w:color w:val="0000FF"/>
                <w:sz w:val="20"/>
              </w:rPr>
              <w:t xml:space="preserve"> </w:t>
            </w:r>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133</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vAlign w:val="center"/>
          </w:tcPr>
          <w:p>
            <w:pPr>
              <w:pStyle w:val="TableContents"/>
              <w:bidi w:val="0"/>
              <w:spacing w:before="0" w:after="283"/>
              <w:jc w:val="left"/>
              <w:rPr/>
            </w:pPr>
            <w:hyperlink w:anchor="item_8_financial_statements_and_suppleme">
              <w:r>
                <w:rPr>
                  <w:rStyle w:val="InternetLink"/>
                  <w:rFonts w:ascii="Times New Roman" w:hAnsi="Times New Roman"/>
                  <w:color w:val="0000FF"/>
                  <w:sz w:val="20"/>
                  <w:u w:val="single"/>
                </w:rPr>
                <w:t>Financial Statements and Supplementary Data</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135</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136</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141</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148</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151</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r>
      <w:tr>
        <w:trPr/>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156</w:t>
            </w:r>
          </w:p>
        </w:tc>
      </w:tr>
      <w:tr>
        <w:trPr/>
        <w:tc>
          <w:tcPr>
            <w:tcW w:w="930" w:type="dxa"/>
            <w:tcBorders/>
            <w:shd w:fill="FFFFFF" w:val="cle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SPECIAL NOTE REGARDING FORWARD-LOOKING STATEMENTS</w:t>
      </w:r>
    </w:p>
    <w:p>
      <w:pPr>
        <w:pStyle w:val="TextBody"/>
        <w:bidi w:val="0"/>
        <w:spacing w:before="120" w:after="283"/>
        <w:jc w:val="left"/>
        <w:rPr>
          <w:rFonts w:ascii="Times New Roman" w:hAnsi="Times New Roman"/>
          <w:sz w:val="20"/>
        </w:rPr>
      </w:pPr>
      <w:r>
        <w:rPr>
          <w:rFonts w:ascii="Times New Roman" w:hAnsi="Times New Roman"/>
          <w:color w:val="231F20"/>
          <w:sz w:val="20"/>
        </w:rPr>
        <w:t>This Annual Report on Form 10-K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Annual Report on Form 10-K, including statements regarding our future results of operations and financial position, business strategy, drug candidates, planned preclinical studies and clinical trials, results of preclinical studies, clinical trials, research and development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w:t>
      </w:r>
      <w:r>
        <w:rPr>
          <w:rFonts w:ascii="Times New Roman" w:hAnsi="Times New Roman"/>
          <w:color w:val="000000"/>
          <w:sz w:val="20"/>
        </w:rPr>
        <w:t xml:space="preserve"> </w:t>
      </w:r>
      <w:r>
        <w:rPr>
          <w:rFonts w:ascii="Times New Roman" w:hAnsi="Times New Roman"/>
          <w:color w:val="231F20"/>
          <w:sz w:val="20"/>
        </w:rPr>
        <w:t>“target,”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120" w:after="283"/>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the initiation, timing, progress and results of our preclinical studies, clinical trials, and research programs for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demonstrate, and the timing of, preclinical proof-of-concept in vivo for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successfully complete our clinical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quickly leverage our initial product candidates and to progress additional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prevalence of certain diseases and conditions we intend to treat and the size of the market opportunity for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estimates of the number of patients with certain diseases and conditions we intend to treat and the number of patients that we will enroll in our clinical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likelihood of our clinical trials demonstrating safety and efficacy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beneficial characteristics, safety, efficacy, therapeutic effects and potential advantages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timing or likelihood of regulatory filings and approval for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meet future regulatory standards with respect to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plans relating to the further development and manufacturing of our product candidates, including additional indications for which we may pursue;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identify additional products, product candidates or technologies with significant commercial potential that are consistent with our commercial objectives;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rate and degree of market acceptance and therapeutic benefits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implementation of our strategic plans for our business, product candidates, research programs and technologies;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scope of protection we are able to establish and maintain for intellectual property rights covering our product candidates and genome-editing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anticipated developments related to our competitors and our industry;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competitive position and ability to leverage the clinical, regulatory and manufacturing advancements to accelerate our clinical trials and regulatory approval of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success of competing therapies that are or may become available;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identify and enter into future license agreements and collaborations;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expected potential benefits of strategic collaborations with third parties and our ability to attract collaborators with development, regulatory, manufacturing or commercialization expertise;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reliance on third parties to conduct clinical trials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reliance on third parties for the manufacture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plans relating to sales strategy, manufacturing and commercializing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attract and retain sales personnel, or to contract with a sales organization, if our product candidates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anticipated regulatory developments in the United States and foreign countries in which we may seek regulatory approval for our product candidates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ability to attract and retain key scientific and management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financial performance;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sufficiency of our existing capital resources to fund our future operating expenses and capital expenditure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our expectations regarding the period during which we will qualify as an emerging growth company under the JOBS Act or a smaller reporting company;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estimates of our expenses, capital requirements and needs for additional financing.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caution you that the forward-looking statements highlighted above do not encompass all of the forward-looking statements made in this Annual Report on Form 10-K.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 Item 1A of this Annual Report on Form 10-K titled “Risk Factors” and elsewhere in this Annual Report on Form 10-K. Moreover, we operate in a very competitive and challenging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pStyle w:val="TextBody"/>
        <w:bidi w:val="0"/>
        <w:jc w:val="center"/>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This Annual Report on Form 10-K contains references to our trademarks and service marks and to those belonging to other entities. Solely for convenience, trademarks and trade names referred to in this </w:t>
      </w:r>
      <w:r>
        <w:rPr>
          <w:rFonts w:ascii="Times New Roman" w:hAnsi="Times New Roman"/>
          <w:color w:val="231F20"/>
          <w:sz w:val="20"/>
        </w:rPr>
        <w:t>Annual Report on Form 10-K</w:t>
      </w:r>
      <w:r>
        <w:rPr>
          <w:rFonts w:ascii="Times New Roman" w:hAnsi="Times New Roman"/>
          <w:color w:val="000000"/>
          <w:sz w:val="20"/>
        </w:rPr>
        <w:t xml:space="preserve">, including logos, artwork and other visual displays, may appear without the </w:t>
      </w:r>
      <w:r>
        <w:rPr>
          <w:rFonts w:ascii="Times New Roman" w:hAnsi="Times New Roman"/>
          <w:color w:val="000000"/>
          <w:sz w:val="10"/>
        </w:rPr>
        <w:t>®</w:t>
      </w:r>
      <w:r>
        <w:rPr>
          <w:rFonts w:ascii="Times New Roman" w:hAnsi="Times New Roman"/>
          <w:color w:val="000000"/>
          <w:sz w:val="20"/>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br/>
        <w:t>Market, Industry and Other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information contained in this Annual Report on Form 10-K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 Item 1A of this Annual Report on Form 10-K titled “Risk Factors” and elsewhere in this Annual Report on Form 10-K. These and other factors could cause results to differ materially from those expressed in the estimates made by independent third parties and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patient-centered, clinical-stage biopharmaceutical company focused on developing cell therapies for patients suffering from autoimmune diseases. Our goal is to bring disease-modifying therapeutic benefits to patients suffering from autoimmune diseases through our patient-centered approach, our broad platform, our insights into treating immune disorders and the learnings from successful application of cell therapy in other areas of medicine. Our cell therapy approach to the treatment of autoimmune diseases is supported by the scientific publication of multiple autoimmune case studies using CD19 CAR T-cell treatment as well as early clinical data from our ongoing trials illustrating the disease-modifying potential of these therapies. This validation provides us with a clear path to continue advancing our lead product candidate, KYV-101, through clinical development across two broad areas of autoimmune disease: rheumatology and neurology.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lead program, KYV-101, is an autologous CD19 CAR T-cell product candidate made from an underlying chimeric antigen receptor, or CAR, that we have licensed from the National Institutes of Health, or the NIH. This underlying CAR in KYV-101 has completed a 20-patient Phase 1 trial in oncology conducted by the NIH, and the results from this Phase 1 trial published in </w:t>
      </w:r>
      <w:r>
        <w:rPr>
          <w:rFonts w:ascii="Times New Roman" w:hAnsi="Times New Roman"/>
          <w:i/>
          <w:color w:val="000000"/>
          <w:sz w:val="20"/>
        </w:rPr>
        <w:t xml:space="preserve">Nature Medicine </w:t>
      </w:r>
      <w:r>
        <w:rPr>
          <w:rFonts w:ascii="Times New Roman" w:hAnsi="Times New Roman"/>
          <w:color w:val="000000"/>
          <w:sz w:val="20"/>
        </w:rPr>
        <w:t>reported improved tolerability in the clinic among adult oncology patients using the same CAR construct in KYV-101, as compared to the CAR used to create Yescarta®. This underlying CAR in KYV-101 was designed by the NIH to improve tolerability through a systematic comparison of CARs created with alternate domain structures, identifying the use of a fully human CD19 binding domain and optimized hinge and transmembrane domains. We believe that these differentiated properties of the underlying CAR construct in KYV-101 are critical for the potential success of CAR T cells as autoimmune disease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develop KYV-101 in two broad areas of autoimmune disease: rheumatology and neurology. Our initial rheumatology development focus is on lupus nephritis, or LN, and systemic sclerosis, or SSc. We are conducting two trials of KYV-101 in patients with LN, an autoimmune disease in which more than half of patients do not achieve a complete response to current therapies and are at risk of developing kidney failure. In addition to LN, we received Investigational New Drug, or IND, clearance in October 2023 for a Phase 1/2 study in SSc. We intend to initially focus our neurology development on myasthenia gravis, or MG, and multiple sclerosis, or MS. We received IND clearance in November 2023 for a Phase 2 study in MG, and we received IND clearance in December 2023 for a Phase 2 study in MS. We believe our approach may present a significant advantage over current standard-of-care therapies for autoimmune diseases by aiming to directly deplete B cells and potentially resetting disease-contributing B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actively developing an allogeneic, off-the-shelf approach to further broaden patient access. To this end, we have partnered with Intellia Therapeutics, Inc., or Intellia, a leader in the field of gene editing, to develop KYV-201, an allogeneic CD19 CAR T-cell product candidate. Our research-stage programs are focused on developing product candidates to treat other autoimmune diseases, such as inflammatory bowel disease, or IBD, which includes Crohn’s disease and ulcerative colitis, and extend beyond CD19 CAR-T approaches, including regulatory T cells, or T-regs, and novel humanized CAR constructs developed by us for use in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12, 2024, we closed an initial public offering, or the IPO, of 16,675,000 shares of our common stock at a price to the public of $22.00 per share, including the exercise in full by the underwriters of their option to purchase 2,175,000 additional shares of our common stock, and received gross proceeds of $366.9 million. Net proceeds were approximately $336.2 million, after deducting underwriting discounts and commissions and estimated other offering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Translating transformational experience with cell therapies to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 success of cell therapies such as CAR T-cell therapies in oncology have paved the way for the application of cell therapies in other therapeutic areas. Pathologic B cells are the cause of a number of hematological malignancies, such as B-cell lymphoma. In recent years, multiple engineered cell therapies have been approved that can eliminate these B cells, resulting in long-term complete responses in lymphoma patients refractory to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therapies. One of the most widely used, studied, and clinically validated engineered cell therapies is CAR T-cell therapy, a form of immunotherapy whereby the patient’s T cells are engineered to express a CAR that recognizes and binds to a specific antigen present on tumor cells to generate an anti-tumor immune response. CAR T cells for this therapy are generated by isolating T cells from the patient and introducing a CAR construct that directs these modified T cells to attack B cells based on the expression of a common antigen, CD19.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Autoimmune diseases affect organs throughout the body. A common characteristic of many of these diseases is the presence of autoantibodies, antibodies produced by the body’s B cells that mistakenly attack other cells and tissues in the body. Given that the therapeutic benefit associated with B-cell depletion is common between B-cell-driven hematologic malignancies and autoimmune diseases, we anticipated that CD19 CAR T cells would have therapeutic benefits in autoimmune diseases, a result that has now been observed in the publication of a number of case studies.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academic clinical data published in </w:t>
      </w:r>
      <w:r>
        <w:rPr>
          <w:rFonts w:ascii="Times New Roman" w:hAnsi="Times New Roman"/>
          <w:i/>
          <w:color w:val="000000"/>
          <w:sz w:val="20"/>
        </w:rPr>
        <w:t xml:space="preserve">Nature Medicine </w:t>
      </w:r>
      <w:r>
        <w:rPr>
          <w:rFonts w:ascii="Times New Roman" w:hAnsi="Times New Roman"/>
          <w:color w:val="000000"/>
          <w:sz w:val="20"/>
        </w:rPr>
        <w:t xml:space="preserve">in September 2022, a CD19 CAR T-cell therapy was observed to induce clinical remission in all five systemic lupus erythematosus, or SLE, patients with lupus nephritis. All patients experienced significant improvements in Systemic Lupus Erythematosus Disease Activity Index 2000, or SLEDAI-2K, scores. Scores of zero, corresponding to no disease activity on such index, were achieved in four patients by three months post treatment and a score of two in one patient due to residual low-level proteinuria that was likely due to previously accumulated kidney damage. Several other important observations were the elimination of autoantibodies, B-cell reconstitution after an average time of 110 days of CAR T infusion in all patients, preservation of vaccination responses, and that treatment was well tolerated, with either no or mild cytokine release syndrome, or CRS. Further, in clinical data published in the </w:t>
      </w:r>
      <w:r>
        <w:rPr>
          <w:rFonts w:ascii="Times New Roman" w:hAnsi="Times New Roman"/>
          <w:i/>
          <w:color w:val="000000"/>
          <w:sz w:val="20"/>
        </w:rPr>
        <w:t xml:space="preserve">New England Journal of Medicine </w:t>
      </w:r>
      <w:r>
        <w:rPr>
          <w:rFonts w:ascii="Times New Roman" w:hAnsi="Times New Roman"/>
          <w:color w:val="000000"/>
          <w:sz w:val="20"/>
        </w:rPr>
        <w:t xml:space="preserve">in 2021, a 20-year-old woman with severe and refractory SLE was observed to experience rapid remission of symptoms and autoantibody levels following a single treatment with autologous CD19 CAR T cells. This patient has been in remission for at least 600 days and is included in the </w:t>
      </w:r>
      <w:r>
        <w:rPr>
          <w:rFonts w:ascii="Times New Roman" w:hAnsi="Times New Roman"/>
          <w:i/>
          <w:color w:val="000000"/>
          <w:sz w:val="20"/>
        </w:rPr>
        <w:t xml:space="preserve">Nature Medicine </w:t>
      </w:r>
      <w:r>
        <w:rPr>
          <w:rFonts w:ascii="Times New Roman" w:hAnsi="Times New Roman"/>
          <w:color w:val="000000"/>
          <w:sz w:val="20"/>
        </w:rPr>
        <w:t>publication mentioned above. We believe the foregoing academic clinical data, including the rapid depletion of B cells upon initiation of treatment and subsequently observed naïve B-cell reconstitution, suggest that CD19 CAR T-cell therapy could potentially lead to significant clinical benefit and reset the immune system with a single, well-tolerated treatment. However, the foregoing data was obtained by a third party outside of a formal clinical trial setting and we are seeking to validate this premise through well-controlled, multicenter clinical trials that demonstrate statistically significant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High prevalence and unmet need across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80 diseases are classified as autoimmune diseases affecting up to 8% of the U.S. population. Moreover, the prevalence of autoimmunity is on the rise in the United States. Over the last 25 years, researchers have observed a 44% increase in the presence of antinuclear antibodies, the autoantibody in lupus, affecting 41 million people. These autoantibodies represent an early sign of autoimmune diseases, which develop in about 30% of these individuals over a five- to ten-year period. The chronic and debilitating nature of these diseases leads to both high medical costs and reduced quality of life, creating a significant burden for patients, their families and the health care system. It is estimated that sales for autoimmune disease therapies were greater than $80 billion globally in 2021. Despite the availability of many approved drugs, there remains substantial unmet clinical need, as existing therapies are rarely considered curative and the majority of patients do not respond optimally, if at all, to these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autoimmune disease treatments such as hematopoietic stem cell transplantation, or HSCT, and the use of B-cell-targeting monoclonal antibodies have led to therapeutic responses, but the majority of patients do not benefit either because of unacceptable toxicity risks or due to weak or short-lived activity. The HSCT process leads to depletion of the patient’s immune system, and is a procedure associated with potentially life-threatening complications and its use to treat autoimmune disease is primarily as a salvage therapy for patients with severe refractory disease. Poor or mixed results have also been reported from patients with SLE, inflammatory myositis and autoimmune hepatitis when using monoclonal antibodies targeted against CD20, such as rituximab. We believe that the poor efficacy of anti-CD20 antibodies for these indications may be due in part to limited antibody activity in diseased tissue due to the weak tissue-penetrating ability of antibodies.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Our pipeline and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portfolio of product candidates for the treatment of autoimmune diseases is summarized in the figure below:</w:t>
      </w:r>
    </w:p>
    <w:p>
      <w:pPr>
        <w:pStyle w:val="TextBody"/>
        <w:bidi w:val="0"/>
        <w:jc w:val="left"/>
        <w:rPr/>
      </w:pPr>
      <w:r>
        <w:rPr/>
        <w:t> </w:t>
      </w:r>
    </w:p>
    <w:p>
      <w:pPr>
        <w:pStyle w:val="TextBody"/>
        <w:bidi w:val="0"/>
        <w:jc w:val="center"/>
        <w:rPr/>
      </w:pPr>
      <w:r>
        <w:rPr/>
        <w:drawing>
          <wp:inline distT="0" distB="0" distL="0" distR="0">
            <wp:extent cx="5829300" cy="2476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29300" cy="247650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KYV-101, a fully human CD19 CAR T-cell therapy, was created using a CAR designed by the NIH to improve tolerability through the use of a fully human CD19 binding domain and optimized hinge and transmembrane domains. We in-licensed this highly differentiated CD19 CAR contained in KYV-101 and KYV-201 from the NIH. We believe that this combination of components produces a CAR with a differentiated safety profile. In an oncology Phase 1 trial conducted at the National Cancer Institute of the NIH, patients treated with the CD19 CAR used in KYV-101, referred to as Hu19-CD828Z, were found to experience lower levels of inflammatory cytokines, such as TNFα and IL-6, versus alternative CARs such as FMC63-28Z, the CAR used to create Yescarta®. Treatment with Hu19-CD828Z CAR T cells resulted in significantly lower rate of mild and severe neurotoxicity than previously observed in patients treated with FMC63-CD28Z at the same clinic. Despite the lower levels of inflammatory cytokine and neurotoxicity, Hu19-CD828Z still led to similar rates of durable antitumor responses. We believe that this favorable profile has the potential to be critical for the application of CAR T-cell therapies in indications such as autoimmune diseases, where there may be lower tolerance for treatment-related serious, and potentially fatal, adverse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develop KYV-101 in two broad areas of autoimmune disease: rheumatology and neurology. Our first clinical development program for KYV-101 is in lupus nephritis, a kidney disease that commonly develops in patients with SLE. We estimate that there are up to 40,000 lupus nephritis patients in the U.S. that are resistant to current therapies and are at high risk of developing kidney failure. In addition to this high unmet clinical need, there are several factors that we believe position lupus nephritis as an attractive lead indication, including promising early data from our ongoing clinical studies; clinical insights from promising case reports; the ability to achieve and measure clinically meaningful improvements in relatively short clinical trials; and recent regulatory precedents establishing clear and objective clinical endpoints for approval. We are conducting and sponsoring clinical trials in lupus nephritis in both the United States and Germany.</w:t>
      </w:r>
    </w:p>
    <w:p>
      <w:pPr>
        <w:pStyle w:val="TextBody"/>
        <w:bidi w:val="0"/>
        <w:spacing w:before="240" w:after="283"/>
        <w:jc w:val="left"/>
        <w:rPr>
          <w:rFonts w:ascii="Times New Roman" w:hAnsi="Times New Roman"/>
          <w:sz w:val="20"/>
        </w:rPr>
      </w:pPr>
      <w:r>
        <w:rPr>
          <w:rFonts w:ascii="Times New Roman" w:hAnsi="Times New Roman"/>
          <w:color w:val="000000"/>
          <w:sz w:val="20"/>
        </w:rPr>
        <w:t>We are exploring the potential of KYV-101 in other indications through a combination of investigator-initiated clinical trials in the United States and named patient activities by individual physicians (including, for example, “</w:t>
      </w:r>
      <w:r>
        <w:rPr>
          <w:rFonts w:ascii="Times New Roman" w:hAnsi="Times New Roman"/>
          <w:i/>
          <w:color w:val="000000"/>
          <w:sz w:val="20"/>
        </w:rPr>
        <w:t>Individueller Heilversuch</w:t>
      </w:r>
      <w:r>
        <w:rPr>
          <w:rFonts w:ascii="Times New Roman" w:hAnsi="Times New Roman"/>
          <w:color w:val="000000"/>
          <w:sz w:val="20"/>
        </w:rPr>
        <w:t xml:space="preserve">,” or single-patient treatment healing attempts, in Germany) outside of our sponsored clinical trials. We supply KYV-101 for use in qualified patients who have exhausted other treatment options and for whom there are strong patient- and indication-related scientific rationales. This strategy aligns with our mission to prioritize patient needs while providing us insight to help de-risk additional potential indications where our autoimmune cell therapy approach can benefit patients who are refractory to existing therapies. These investigator-initiated trials and named patient activities are not part of our clinical trials for KYV-101 and data from these trials and activities are reported by the relevant investigators and physicians. Such data are not obtained using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single protocol or designed to be aggregated or reported as study results, and may be highly variable. While we do not expect to be able to use the results from these investigator-initiated trials or named patient activities in our applications for marketing approval to the U.S. Food and Drug Administration, or the FDA, or other foreign regulatory agencies, we believe that this strategy may provide some competitive advantage as we will be able to acquire additional clinical insights beyond highly focused clinical trials in specific geographies.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Stanford received IND clearance for an investigator-initiated trial of KYV-101 in MS, and in November 2023, the University of Pennsylvania received IND clearance for an investigator-initiated trial of KYV-101 in a basket of rheumatology indications. Additionally, the University of California, San Francisco and the University of Massachusetts are also preparing additional IND applications to begin investigator-initiated trials of KYV-101. Other academic institutions involved in a combination of named patient activities, investigator-initiated trials and translational collaboration include Charité-Universitätsmedizin Berlin, Department of Rheumatology and Clinical Immunology, Friedrich-Alexander-Universität (FAU) Erlangen-Nürnberg, Heinrich Heine Universität Dusseldorf, University Medical Center Hamburg Eppendorf and Taichung Veterans General Hospital, with areas of focus across neurology, rheumatology, biomarkers and lymphodepletion.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near term, we plan to initiate KYV-101 in Kyverna-sponsored clinical trials in SSc, MG and MS. In October 2023, we received IND clearance for SSc, in November 2023 we received IND clearance for a Phase 2 study in MG, and in December 2023 we received IND clearance for a Phase 2 study in 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also developing KYV-201, an allogeneic therapy containing the same CAR as KYV-101, with the intent of developing it in multiple autoimmune diseases. We believe that developing an allogeneic CD19 CAR T-cell therapy could further broaden patient access to potentially transformative CAR T-cell therapy. We have partnered with Intellia to apply its gene editing technology to the creation of KYV-201. The combination of our CD19 CAR licensed from the NIH and Intellia’s differentiated technology platform has led to the creation of a product candidate in which </w:t>
      </w:r>
      <w:r>
        <w:rPr>
          <w:rFonts w:ascii="Times New Roman" w:hAnsi="Times New Roman"/>
          <w:i/>
          <w:color w:val="000000"/>
          <w:sz w:val="20"/>
        </w:rPr>
        <w:t xml:space="preserve">in vitro </w:t>
      </w:r>
      <w:r>
        <w:rPr>
          <w:rFonts w:ascii="Times New Roman" w:hAnsi="Times New Roman"/>
          <w:color w:val="000000"/>
          <w:sz w:val="20"/>
        </w:rPr>
        <w:t>activity matches the cell killing activity of KYV-101 but does so in the context of allogeneic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research-stage programs are focused on developing product candidates to treat other autoimmune diseases such as inflammatory bowel disease, or IBD, which includes Crohn’s disease and ulcerative colitis. These programs include a suite of capabilities related to T-regs developed through our completed research collaboration with Gilead Sciences, Inc., or Gilead, and novel humanized CAR constructs developed by us for use in autoimmunity. T-regs are a subset of CD4+ T cells that maintain tolerance in the periphery through multiple mechanisms involving both soluble mediators and direct cell-cell interactions. Clinical use of polyclonal, non-engineered T-regs has not yielded optimal therapeutic effects to date in autoimmune disease settings. However, we believe the use of antigen-specific T-regs, possibly through use of a CAR, holds promise by enhancing homing to antigen-specific effector T cells or sites of inflammation. Published reports in multiple pre-clinical animal models of autoimmunity have demonstrated that antigen-specific T-regs are significantly more effective than polyclonal T-regs. We are in the process of preparing a publication that addresses the therapeutic use of T-regs using a CAR and our differentiated approach that is the product of our significant investments in this modality.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Manufacturing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a robust manufacturing process for KYV-101 and have partnered with an experienced contract development and manufacturing organization, WuXi ATU Advanced Therapies, Inc., or WuXi, to generate KYV-101 for near-term clinical trials and named patient supply. In parallel, we are developing Ingenui-T, a manufacturing process designed to improve patient experience and manufacturing capabilities through partnerships with world-class organizations in cell therapy manufacturing, including ElevateBio, LLC.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Our company history and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both on our initial product candidate KYV-101 and on our emerging research efforts, it is our ambition to become the leader in the development of cell therapies for the treatment of immune diseases. We were founded in 2018 after recognizing the potential of CD19 CAR T-cell therapies in autoimmune disease, and we successfully pursued the rights to a highly differentiated CAR construct from the NIH with the goal of bringing life-changing therapeutic benefits to patients suffering from autoimmune diseases. We began to license this construct in 2020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investigators published a series of highly cited publications that confirmed our hypothesis. While developing a clinical development plan for this asset, we also anticipated the potential that an allogeneic CD19 CAR T-cell therapy could have in the treatment of autoimmune diseases and partnered with Intellia to incorporate its gene editing technology into a second product candidate. The potential for cell therapies in autoimmune diseases extends beyond products based on CD19 CAR T cells and we believe that our preclinical research efforts in these areas will serve to position us at the forefront of the field.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leadership team has deep industry experience:</w:t>
      </w:r>
    </w:p>
    <w:p>
      <w:pPr>
        <w:pStyle w:val="TextBody"/>
        <w:bidi w:val="0"/>
        <w:spacing w:before="240" w:after="283"/>
        <w:jc w:val="left"/>
        <w:rPr>
          <w:rFonts w:ascii="Times New Roman" w:hAnsi="Times New Roman"/>
          <w:sz w:val="20"/>
        </w:rPr>
      </w:pPr>
      <w:r>
        <w:rPr>
          <w:rFonts w:ascii="Times New Roman" w:hAnsi="Times New Roman"/>
          <w:b/>
          <w:i/>
          <w:color w:val="000000"/>
          <w:sz w:val="20"/>
        </w:rPr>
        <w:t>Peter Maag, Ph.D.</w:t>
      </w:r>
      <w:r>
        <w:rPr>
          <w:rFonts w:ascii="Times New Roman" w:hAnsi="Times New Roman"/>
          <w:color w:val="000000"/>
          <w:sz w:val="20"/>
        </w:rPr>
        <w:t>, our Chief Executive Officer, has over 20 years of executive management experience in the pharmaceutical and diagnostic industries, most recently serving as Executive Chairman and CEO of CareDx, which he led from its time as a small startup through its emergence as a public company with a $5 billion market value in 2022.</w:t>
      </w:r>
    </w:p>
    <w:p>
      <w:pPr>
        <w:pStyle w:val="TextBody"/>
        <w:bidi w:val="0"/>
        <w:spacing w:before="240" w:after="283"/>
        <w:jc w:val="left"/>
        <w:rPr>
          <w:rFonts w:ascii="Times New Roman" w:hAnsi="Times New Roman"/>
          <w:sz w:val="20"/>
        </w:rPr>
      </w:pPr>
      <w:r>
        <w:rPr>
          <w:rFonts w:ascii="Times New Roman" w:hAnsi="Times New Roman"/>
          <w:b/>
          <w:i/>
          <w:color w:val="000000"/>
          <w:sz w:val="20"/>
        </w:rPr>
        <w:t>Dominic Borie, M.D., Ph.D.</w:t>
      </w:r>
      <w:r>
        <w:rPr>
          <w:rFonts w:ascii="Times New Roman" w:hAnsi="Times New Roman"/>
          <w:color w:val="000000"/>
          <w:sz w:val="20"/>
        </w:rPr>
        <w:t>, our President, Research and Development, has a deep background in immunology and is a digestive tract and liver transplant surgeon. Dr. Borie previously had leadership positions at Horizon Therapeutics, Genentech, Amgen and Roche.</w:t>
      </w:r>
    </w:p>
    <w:p>
      <w:pPr>
        <w:pStyle w:val="TextBody"/>
        <w:bidi w:val="0"/>
        <w:spacing w:before="240" w:after="283"/>
        <w:jc w:val="left"/>
        <w:rPr>
          <w:rFonts w:ascii="Times New Roman" w:hAnsi="Times New Roman"/>
          <w:sz w:val="20"/>
        </w:rPr>
      </w:pPr>
      <w:r>
        <w:rPr>
          <w:rFonts w:ascii="Times New Roman" w:hAnsi="Times New Roman"/>
          <w:b/>
          <w:i/>
          <w:color w:val="000000"/>
          <w:sz w:val="20"/>
        </w:rPr>
        <w:t>James Chung, M.D., Ph.D.</w:t>
      </w:r>
      <w:r>
        <w:rPr>
          <w:rFonts w:ascii="Times New Roman" w:hAnsi="Times New Roman"/>
          <w:color w:val="000000"/>
          <w:sz w:val="20"/>
        </w:rPr>
        <w:t>, our Chief Medical Officer, previously served as Executive Medical Director and head of Inflammation and Neuroscience, Global Medical Organization, and Global Development Leader for ENBREL® at Amgen.</w:t>
      </w:r>
    </w:p>
    <w:p>
      <w:pPr>
        <w:pStyle w:val="TextBody"/>
        <w:bidi w:val="0"/>
        <w:spacing w:before="240" w:after="283"/>
        <w:jc w:val="left"/>
        <w:rPr>
          <w:rFonts w:ascii="Times New Roman" w:hAnsi="Times New Roman"/>
          <w:sz w:val="20"/>
        </w:rPr>
      </w:pPr>
      <w:r>
        <w:rPr>
          <w:rFonts w:ascii="Times New Roman" w:hAnsi="Times New Roman"/>
          <w:b/>
          <w:i/>
          <w:color w:val="000000"/>
          <w:sz w:val="20"/>
        </w:rPr>
        <w:t>Karen Walker</w:t>
      </w:r>
      <w:r>
        <w:rPr>
          <w:rFonts w:ascii="Times New Roman" w:hAnsi="Times New Roman"/>
          <w:color w:val="000000"/>
          <w:sz w:val="20"/>
        </w:rPr>
        <w:t>, our Chief Technology Officer, has broad and deep industry experience in developing biopharmaceuticals and cell and gene therapy products at Roche/Genentech, Seattle Genetics, Novartis and other leading pharmaceutical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Ryan Jones</w:t>
      </w:r>
      <w:r>
        <w:rPr>
          <w:rFonts w:ascii="Times New Roman" w:hAnsi="Times New Roman"/>
          <w:color w:val="000000"/>
          <w:sz w:val="20"/>
        </w:rPr>
        <w:t>, our Chief Financial Officer, was part of our founding team and has extensive industry experience in healthcare and life science, previously at GE Ventures and Thermo Fisher Scientific.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mission is to bring life-changing therapeutic benefits to patients suffering from autoimmune diseases. We intend to develop cell therapy product candidates with efficacy across multiple types of autoimmune diseases, including highly prevalent indications with high unmet clinical needs. We plan to pursue our mission through the following strategies: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Transforming autoimmune patients’ experiences through cell therapies. </w:t>
      </w:r>
      <w:r>
        <w:rPr>
          <w:rFonts w:ascii="Times New Roman" w:hAnsi="Times New Roman"/>
          <w:color w:val="000000"/>
          <w:sz w:val="20"/>
        </w:rPr>
        <w:t>Our success is dependent on our ability to address the need for safe and effective therapies for patients, especially those who are refractory to other available therapies. Despite an abundance of marketed therapies in some autoimmune indications, many patients are nevertheless severely underserved. In addition, patients’ daily lives are often considerably compromised, making broad and impactful interventions all the more imperative. We strive to always consider the patient’s perspective as we decide how to create, develop, manufacture and potentially commercialize our product candidates, if approved. We prioritize following patients treated in our clinical trials not only through the course of treatment, but for many years thereafter.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Advancing KYV-101 through a broad clinical trial program, and driving the value of CD19 CAR T-cell therapy in autoimmune diseases. </w:t>
      </w:r>
      <w:r>
        <w:rPr>
          <w:rFonts w:ascii="Times New Roman" w:hAnsi="Times New Roman"/>
          <w:color w:val="000000"/>
          <w:sz w:val="20"/>
        </w:rPr>
        <w:t>We appreciate that there is both a high demand for novel therapies for autoimmune diseases and significant competition in developing cell therapies, motivating us to move quickly and decisively. We are enrolling two open-label, multicenter clinical trials of KYV-101 in lupus nephritis.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Advancing KYV-201 into clinical trials</w:t>
      </w:r>
      <w:r>
        <w:rPr>
          <w:rFonts w:ascii="Times New Roman" w:hAnsi="Times New Roman"/>
          <w:color w:val="000000"/>
          <w:sz w:val="20"/>
        </w:rPr>
        <w:t>. Successful development of allogeneic therapies for the treatment of autoimmune diseases enables the expansion of patient access and the treatment of highly prevalent diseases with off-the-shelf therapies based on cells from healthy donors.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access and clinical experience with our product candidates through investigator-initiated trials and named patient activities in line with our patient-centered focus. </w:t>
      </w:r>
      <w:r>
        <w:rPr>
          <w:rFonts w:ascii="Times New Roman" w:hAnsi="Times New Roman"/>
          <w:color w:val="000000"/>
          <w:sz w:val="20"/>
        </w:rPr>
        <w:t xml:space="preserve">We actively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 with leading clinicians interested in assessing the potential of our product candidates to treat patients who are refractory to existing therapies, by either initiating their own clinical trials in the United States, or treating a single patient who has exhausted other treatment options on a named patient basis outside of the United States. While we do not expect to be able to use the results from these trials or activities in our application for marketing approval to the FDA or other foreign regulatory agencies, our openness to named patient treatments and other such non-traditional clinical approaches serves our mission to prioritize patient needs while providing us insight into potential areas for future clinical development. Pursuing investigator-initiated trials also increases physician familiarity with our company and broadens our network of potential prescribers for our therapies if they are approved.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Investing in early-stage research programs to expand our pipeline and capabilities through selectively acquiring highly differentiated technologies. </w:t>
      </w:r>
      <w:r>
        <w:rPr>
          <w:rFonts w:ascii="Times New Roman" w:hAnsi="Times New Roman"/>
          <w:color w:val="000000"/>
          <w:sz w:val="20"/>
        </w:rPr>
        <w:t>Treatment of the wide spectrum of autoimmune diseases will require more than the ability to target B cells with CD19 CAR T-cell therapies. We have developed T-reg capabilities through our completed research collaboration with Gilead and novel humanized CAR constructs that we have created for use in autoimmunity. Similar to our successful efforts to license the technologies behind KYV-101 and KYV-201, we intend to continue to actively pursue technologies through capital-efficient acquisitions or partnerships that offer us the possibility of developing safe and effective cell therapies for autoimmune diseases.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Investing in technologies to prepare for commercialization and selectively evaluating strategic partnerships to improve patient experience or enable greater patient access</w:t>
      </w:r>
      <w:r>
        <w:rPr>
          <w:rFonts w:ascii="Times New Roman" w:hAnsi="Times New Roman"/>
          <w:color w:val="000000"/>
          <w:sz w:val="20"/>
        </w:rPr>
        <w:t>. We plan to build a fully integrated biopharmaceutical company capable of executing registrational trials, obtaining regulatory approvals and commercializing our drugs globally. We plan to invest in manufacturing technologies, commercial supply advancements and demand planning processes to provide us with distinct competitive advantages, maximize patient access and overcome historical supply challenges for this modality.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Autoimmune Disease Market 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Autoimmune disease arises from an immune response directed not against pathogenic cells but rather against the body’s own cells and tissues. In a healthy individual, immune cells such as B cells and T cells that recognize normal cells and tissues – and could thus cause harm – are either eliminated before they mature, or have their activities suppressed by other mechanisms. However, in autoimmune disease patients, these preventative measures fail due to a combination of both a person’s genetic makeup and his or her exposure to certain antigens from infections or the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Autoimmune disease is widely and increasingly prevalent, evidenced by over 80 autoimmune diseases impacting up to 8% of the U.S. population. Over the last 25 years, researchers have observed a 44% increase in the presence of antinuclear antibodies, the autoantibody in lupus, affecting 41 million people. These autoantibodies represent an early sign of autoimmune diseases, which develop in about 30% of these individuals over a five- to ten-year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chronic and debilitating nature of these diseases leads to both high medical costs and reduced quality of life, creating a significant burden for patients, their families and the health care system. It is estimated that sales for autoimmune disease therapies were greater than $80 billion globally in 2021. Despite the availability of many approved drugs, there remains substantial unmet clinical need, as existing therapies are rarely considered curative and the majority of patients do not respond optimally, if at all, to these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wide spectrum of diseases and symptoms driven by autoimmunity. The presence of autoantibodies, a product of autoreactive B cells, is a hallmark of many of these diseases. Although the identity of the autoantigen targeted and the tissue or organ with the most significant pathology may differ among autoimmune diseases, the production of autoantibodies by B cells is a common characteristic among many of them. There is also growing evidence that autoreactive B cells may also drive many autoimmune diseases through their interactions with T cells and the production of cytokines. This unifying biology provides us with the opportunity to create therapies for many autoimmune diseases by targeting autoantibody production by B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for select B-cell-driven diseases the number of diagnosed patients in the United States, the European Union and Japan in 2022:</w:t>
      </w:r>
    </w:p>
    <w:p>
      <w:pPr>
        <w:pStyle w:val="TextBody"/>
        <w:bidi w:val="0"/>
        <w:jc w:val="left"/>
        <w:rPr/>
      </w:pPr>
      <w:r>
        <w:rPr/>
        <w:t> </w:t>
      </w:r>
    </w:p>
    <w:p>
      <w:pPr>
        <w:pStyle w:val="TextBody"/>
        <w:bidi w:val="0"/>
        <w:jc w:val="center"/>
        <w:rPr/>
      </w:pPr>
      <w:r>
        <w:rPr/>
        <w:drawing>
          <wp:inline distT="0" distB="0" distL="0" distR="0">
            <wp:extent cx="3686175" cy="3552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86175" cy="3552825"/>
                    </a:xfrm>
                    <a:prstGeom prst="rect">
                      <a:avLst/>
                    </a:prstGeom>
                  </pic:spPr>
                </pic:pic>
              </a:graphicData>
            </a:graphic>
          </wp:inline>
        </w:drawing>
      </w: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Limitations of Current Autoimmune Disease Therapies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Two therapeutic approaches serve to validate the broad potential of B-cell-targeted therapies: stem-cell transplant and anti-CD20 antibodies. Patients with B-cell hematologic malignancies, such as multiple myeloma, can obtain deep, durable remissions of their disease by autologous hematopoietic stem cell transplant, or HSCT. The HSCT process involves isolating hematopoietic stem cells from a patient and treating the patient with high-dose chemotherapy to eliminate tumor cells. This process also leads to depletion of the patient’s immune system, which can be reconstituted by administration of the hematopoietic stem cells, and has been shown to be effective in treating autoimmune disease, resulting in durable responses. HSCT, however, is a procedure associated with potentially life-threatening complications and its use to treat autoimmune disease is primarily as a salvage therapy for patients with severe refractory disease.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Monoclonal antibodies targeted against CD20, such as rituximab, have been approved to treat a number of diseases including hematopoietic malignancies and immune disorders. These antibodies bind to CD20, a B-cell-specific antigen, leading to B-cell depletion. More recently, rituximab has been shown to have efficacy in a number of autoimmune diseases, including rheumatoid arthritis, pemphigus vulgaris and ANCA associated vasculitis. However, poor or mixed results have been reported in other autoimmune diseases such as SLE, inflammatory myositis and autoimmune hepatitis. We believe that the poor efficacy of anti-CD20 antibodies for these indications may be due in part to limited antibody exposure in diseased tissue due to the weak tissue-penetrating ability of antibodies.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Solution — Cell Therapy for Autoimmune Disease Treatment</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Opportunity to Harness the Power of CAR T-cell Therapy in Autoimmune Disease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the success of cell therapies such as CAR T-cell therapies in oncology has paved the way for the application of cellular therapies in other therapeutics areas, including autoimmune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first FDA-approved CAR T-cell therapies targeted CD19, a B-cell specific antigen that is highly expressed on B-cell malignancies, such as large B-cell lymphoma. Treatment with CD19 CAR T cells results in depletion of these malignant cells as well as other cells that express CD19, including healthy B cells. Given the role of B cells in multiple autoimmune diseases, we believe it is reasonable to expect that depleting these cells using CD19 CAR T cells may result in therapeutic benefits in a broad range of B-cell-driven autoimmune diseases. The following figure shows the range of B cells targeted by CD19 relative to other targets such as CD20 and BCMA:</w:t>
      </w:r>
    </w:p>
    <w:p>
      <w:pPr>
        <w:pStyle w:val="TextBody"/>
        <w:bidi w:val="0"/>
        <w:jc w:val="left"/>
        <w:rPr/>
      </w:pPr>
      <w:r>
        <w:rPr/>
        <w:t> </w:t>
      </w:r>
    </w:p>
    <w:p>
      <w:pPr>
        <w:pStyle w:val="TextBody"/>
        <w:bidi w:val="0"/>
        <w:jc w:val="center"/>
        <w:rPr/>
      </w:pPr>
      <w:r>
        <w:rPr/>
        <w:drawing>
          <wp:inline distT="0" distB="0" distL="0" distR="0">
            <wp:extent cx="5943600" cy="2790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790825"/>
                    </a:xfrm>
                    <a:prstGeom prst="rect">
                      <a:avLst/>
                    </a:prstGeom>
                  </pic:spPr>
                </pic:pic>
              </a:graphicData>
            </a:graphic>
          </wp:inline>
        </w:drawing>
      </w:r>
      <w:r>
        <w:rPr/>
        <w:t> </w:t>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Clinical Proof-of-Concept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treatment of autoimmune disease patients with CD19 CAR T cells has been shown to result in rapid and durable responses in patients who were refractory to other approaches. Recent publications have described a series of case studies in which patients with autoimmune diseases who were refractory to existing therapies were observed to respond favorably to treatment with CD19 CAR T cells. These diseases include SLE, SSc and antisynthetase syndrome, a form of inflammatory myositis.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Potential to Overcome CRS Challenges of CAR T-cell Therapy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CRS is a systemic inflammatory response that is caused by the large, rapid release of cytokines in the blood by immune cells, which may result in multi-organ failure and death. The development of Grade 3 and above CRS is a serious risk associated with the first approved CD19 CAR T-cell therapy products, Yescarta®, Kymriah® and Breyanzi®.</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Increased understanding of the underlying causes of CRS over time has led to the development of CAR T-cell therapies that show a reduction in the frequency of serious CRS. We believe the following factors have the potential to reduce the toxicities associated with CRS and open up the potential for the use of CAR T-cell therapies in indications where previous levels of toxicities would not be broadly tolerated.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Improved CAR Constructs</w:t>
      </w:r>
      <w:r>
        <w:rPr>
          <w:rFonts w:ascii="Times New Roman" w:hAnsi="Times New Roman"/>
          <w:color w:val="231F20"/>
          <w:sz w:val="20"/>
        </w:rPr>
        <w:t>. CARs typically contain an extracellular antigen-binding domain, a transmembrane segment, one or more costimulatory domains, and a CD3ζ signaling domain. The transformative antitumor activities generated by early CAR T-cell products sparked broad exploration of alternative CARs leading to the identification of CARs that have reduced likelihood of generating serious CRS in clinical applications of CAR T cells.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Clinical Experience</w:t>
      </w:r>
      <w:r>
        <w:rPr>
          <w:rFonts w:ascii="Times New Roman" w:hAnsi="Times New Roman"/>
          <w:color w:val="231F20"/>
          <w:sz w:val="20"/>
        </w:rPr>
        <w:t>. With increased experience in treating patients with CAR T cells, clinicians have found that the seriousness of CRS can be managed in some patients by anti-cytokine treatments, such as tocilizumab, an anti-IL-6 drug, with or without corticosteroids.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Role of Tumor Burden</w:t>
      </w:r>
      <w:r>
        <w:rPr>
          <w:rFonts w:ascii="Times New Roman" w:hAnsi="Times New Roman"/>
          <w:color w:val="231F20"/>
          <w:sz w:val="20"/>
        </w:rPr>
        <w:t>. There is an emerging appreciation of the importance of the tumor burden on the severity of CRS. Patients with relapsed or refractory B-cell acute lymphoblastic leukemia, or B-ALL, with lower tumor burden had lower CRS severity when treated with CD19 CAR T cells compared to those with high tumor burden. We believe this suggests that patients with no tumors may have inherently lower risks of developing serious CRS. Emerging data from published case studies of CD19 CAR T-cell treatment of patients with SLE, SSc and antisynthetase syndrome were observed to have improved tolerability compared to the experience of CD19 CAR T-cell therapies in oncology, and no cases of CRS at a level of Grade 3 or above were reported in the autoimmune patients in such case studies.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Potential to Overcome Manufacturing Constraints of CAR T-cell Therapy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in the manufacturing of CAR T cells have limited the number of oncology patients who have been able to be treated with cell therapies. The manufacturing of autologous CAR T cells typically takes two to three weeks, but due to shortages in manufacturing capacity and complex logistics, the process can take several months. As the number of patients treated with CAR T cells is rapidly increasing, worldwide capacity to manufacture these therapies has increased and the processes to manufacture these therapies have continued to evolve and become more automated.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turnaround time from retrieval of the starting cells from patients, a process referred to as apheresis, to the infusion of CAR T cells in patients is critically important for those oncology patients with progressive disease who may have exhausted other treatment options. Most autoimmune diseases, by contrast, are chronic conditions that, despite their seriousness, are less likely to significantly progress while CAR T-cell therapies are manufactured, thereby reducing the critical nature of the turnaround time.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Pipeline</w:t>
      </w:r>
    </w:p>
    <w:p>
      <w:pPr>
        <w:pStyle w:val="TextBody"/>
        <w:bidi w:val="0"/>
        <w:jc w:val="left"/>
        <w:rPr/>
      </w:pPr>
      <w:r>
        <w:rPr/>
        <w:t> </w:t>
      </w:r>
    </w:p>
    <w:p>
      <w:pPr>
        <w:pStyle w:val="TextBody"/>
        <w:bidi w:val="0"/>
        <w:jc w:val="center"/>
        <w:rPr/>
      </w:pPr>
      <w:r>
        <w:rPr/>
        <w:drawing>
          <wp:inline distT="0" distB="0" distL="0" distR="0">
            <wp:extent cx="5829300" cy="2476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29300" cy="2476500"/>
                    </a:xfrm>
                    <a:prstGeom prst="rect">
                      <a:avLst/>
                    </a:prstGeom>
                  </pic:spPr>
                </pic:pic>
              </a:graphicData>
            </a:graphic>
          </wp:inline>
        </w:drawing>
      </w:r>
      <w:r>
        <w:rPr/>
        <w:t> </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KYV-101, an Autologous CD19 CAR T-cell Product Candidate for Rheumatology and Neurology Indications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developing KYV-101, a fully human CD19 CAR T-cell therapy created using a CAR designed by the NIH to improve tolerability through the use of a fully human CD19 binding domain and optimized hinge and transmembrane domains. We intend to develop KYV-101 in two broad areas of autoimmune disease: rheumatology and neurology. Development of KYV-101 in rheumatology is anchored by two ongoing clinical trials in lupus nephritis, and we are preparing for additional clinical trials of KYV-101 in SSc. We intend to initially focus our neurology development on MS and MG, indications where clinical experience from individual patients treated with KYV-101 have been reported by independent physicians in named patient settings. Apart from our clinical trials,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also continue to provide access to KYV-101 to patients with autoimmune diseases by supplying KYV-101 to third-party investigator-initiated clinical trials and in named patient settings.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Lupus Nephritis Background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Lupus nephritis is a type of kidney disease that frequently develops in patients with SLE and is a major cause of morbidity and mortality in SLE. SLE is an autoimmune disease that arises when the immune system develops antibodies against common antigens such as double-stranded DNA, or dsDNA, or components of the cell nucleus. About half of adult patients with SLE will develop kidney disease. In lupus nephritis, immune complexes containing autoantibodies, their antigens and other components of the immune system impair the ability of the kidneys to properly filter the blood and regulate fluid levels, leading to excess excretion of serum proteins. This leads to symptoms such as swelling and weight gain due to fluid retention, increased blood pressure and foamy urine due to excess protein. Most patients have protein in their urine, or proteinuria, at the time of diagnosis. These patients can also have signs of blood leakage into the urine and decreased levels of serum albumin.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treatment goal in the management of lupus nephritis is to minimize the development of permanent kidney damage typically through the use of immunosuppressants such as glucocorticoids, mycophenolate mofetil and cyclophosphamide to reduce the immune complex driven inflammation. Anti-hypertensive agents such as angiotensin-converting enzyme inhibitors and angiotensin 2 receptors blockers are routinely used to directly reduce urinary protein excretion. Patients who do not respond to initial immunotherapies can be treated with calcineurin inhibitors, including voclosporin, marketed as Lupkynis® by Aurinia Pharmaceuticals. However, in a 52-week Phase 3 trial, only 41% of patients achieved complete renal response at week 52 when voclosporin was added on top of standard of care therapy compared to 23% on standard of care only.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Because autoreactive B cells are a driver of immune complex formation, B-cell targeted therapies are also used to treat patients with lupus nephritis. Rituximab, an anti-CD20 antibody, has been used off-label for over a decade to treat lupus nephritis. Belimumab, marketed as Benlysta® by GSK, was the first therapy to be approved by the FDA to specifically treat lupus nephritis. It functions by blocking the differentiation of B cells into antibody-producing plasma cells. However, only 30% patients treated with a combination of Benlysta® and standard of care therapies achieved complete renal responses after two years of treatment.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Current treatment strategies remain unsatisfactory in terms of achieving a complete renal response, preventing relapses, avoiding chronic kidney disease, and avoiding progression to end-stage kidney disease.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Many patients fail to achieve complete remissions within six months of initiation of approved therapies, resulting in the use of sequential treatments or combination therapies to achieve disease control. Lupus nephritis can progress aggressively, requiring prompt treatment to avoid permanent kidney damage which can arise following a single disease flare. Up to 20% of patients will ultimately develop end-stage kidney disease within the first decade after diagnosis.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Long-term high-dose immunosuppression for the treatment of lupus nephritis is associated with significant treatment toxicity. High-dose glucocorticoids have been shown to lead to neuropsychiatric toxicities, infections, and increased body mass index in lupus nephritis patients. Cyclophosphamide treatment is associated with infertility, urotoxicity and oncogenicity. These toxicities remain when patients are treated with biologics, as these agents are typically added on top of standard of care.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Treatment of lupus nephritis is estimated to cost up to $40,000 a year and these costs escalate to between $115,000 and $200,000 a year for those patients who go on to develop end-stage kidney disease. Lifetime costs for patients on current standard of care are approximately $900,000.</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There are an estimated 160,000 SLE patients in the United States, the European Union and Japan that are diagnosed with lupus nephritis. We estimate that there are up to 40,000 lupus nephritis patients in the United States that are refractory to current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KYV-101, Designed for Reduced Cytokines and an Improved Therapeutic Profile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KYV-101 is created using a CAR, referred to as Hu19-CD828Z, that contains a fully human anti-CD19 single-chain fragment variable, or scFV, domain. By contrast, all four of the currently approved CD19 CAR T-cell therapies, Kymriah®, Yescarta®, Tecartus® and Breyanzi® incorporate the scFv portion of murine antibodies as their antigen-recognition domains. These murine domains lead to anti-murine immune responses in treated patients, which results in increased clearance of therapeutic CAR T cells, limiting their expansion and persistence. This anti-murine immune response can lower the efficacy of CAR T cells upon reinfusion should patients require retreatment.</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We believe anti-murine antibodies may be a more significant problem in the treatment of autoimmune diseases than cancer treatment, potentially due to the hyperactivation of immune cells. In a study published by Combier et al. in </w:t>
      </w:r>
      <w:r>
        <w:rPr>
          <w:rFonts w:ascii="Times New Roman" w:hAnsi="Times New Roman"/>
          <w:i/>
          <w:color w:val="231F20"/>
          <w:sz w:val="20"/>
        </w:rPr>
        <w:t xml:space="preserve">The Journal of Rheumatology </w:t>
      </w:r>
      <w:r>
        <w:rPr>
          <w:rFonts w:ascii="Times New Roman" w:hAnsi="Times New Roman"/>
          <w:color w:val="231F20"/>
          <w:sz w:val="20"/>
        </w:rPr>
        <w:t>in June 2020, over 40% of patients with systemic autoimmune diseases treated with rituximab, a murine-based monoclonal antibody, had anti-drug antibodies, compared to 8.6% of rituximab-treated rheumatoid arthritis patients. The presence of anti-drug antibodies led to negative impacts on treatment of patients with SLE, including infusion-related reactions and increased persistence of autoantibodies.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the creation of KYV-101 with Hu19-CD828Z, which contains a fully human scFv domain, has the potential to reduce the likelihood of the development of anti-CAR antibodies, preserving the possibility of retreatment. Autoimmune diseases are often lifelong chronic conditions, raising the possibility that some patients may experience relapse and require retreatment, even after achieving a meaningful clinical response. It is also well-established that there are genetic drivers of autoimmune disease, predisposing some individuals to develop multiple autoimmune diseases, which may require treatment at different times.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addition to a fully human scFv domain, Hu19-CD828Z was also designed with a human CD8α hinge and transmembrane domain, a human CD28 costimulatory domain, and a human CD3ζ activation domain. In a study published by Alabanza et al. in </w:t>
      </w:r>
      <w:r>
        <w:rPr>
          <w:rFonts w:ascii="Times New Roman" w:hAnsi="Times New Roman"/>
          <w:i/>
          <w:color w:val="231F20"/>
          <w:sz w:val="20"/>
        </w:rPr>
        <w:t xml:space="preserve">Molecular Therapy </w:t>
      </w:r>
      <w:r>
        <w:rPr>
          <w:rFonts w:ascii="Times New Roman" w:hAnsi="Times New Roman"/>
          <w:color w:val="231F20"/>
          <w:sz w:val="20"/>
        </w:rPr>
        <w:t xml:space="preserve">in July 2017, this combination was observed to reduce the levels of cytokine release </w:t>
      </w:r>
      <w:r>
        <w:rPr>
          <w:rFonts w:ascii="Times New Roman" w:hAnsi="Times New Roman"/>
          <w:i/>
          <w:color w:val="231F20"/>
          <w:sz w:val="20"/>
        </w:rPr>
        <w:t xml:space="preserve">in vitro </w:t>
      </w:r>
      <w:r>
        <w:rPr>
          <w:rFonts w:ascii="Times New Roman" w:hAnsi="Times New Roman"/>
          <w:color w:val="231F20"/>
          <w:sz w:val="20"/>
        </w:rPr>
        <w:t xml:space="preserve">in a systematic comparison of CARs created with alternate domain structures, including the FMC63-CD28Z CAR used to create Yescarta®. Importantly, the reduction in cytokine production was not correlated with a diminution in the cytotoxicity of CAR T cells against tumor cells in </w:t>
      </w:r>
      <w:r>
        <w:rPr>
          <w:rFonts w:ascii="Times New Roman" w:hAnsi="Times New Roman"/>
          <w:i/>
          <w:color w:val="231F20"/>
          <w:sz w:val="20"/>
        </w:rPr>
        <w:t xml:space="preserve">in vivo </w:t>
      </w:r>
      <w:r>
        <w:rPr>
          <w:rFonts w:ascii="Times New Roman" w:hAnsi="Times New Roman"/>
          <w:color w:val="231F20"/>
          <w:sz w:val="20"/>
        </w:rPr>
        <w:t>tumor models in mice.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illustrations show the structure of Hu19-CD828Z, the same CAR used by us to create KYV-101, and a comparison of Hu19-CD828Z to the FMC63-CD28Z CAR:</w:t>
      </w:r>
    </w:p>
    <w:p>
      <w:pPr>
        <w:pStyle w:val="TextBody"/>
        <w:bidi w:val="0"/>
        <w:jc w:val="left"/>
        <w:rPr/>
      </w:pPr>
      <w:r>
        <w:rPr/>
        <w:t> </w:t>
      </w:r>
    </w:p>
    <w:p>
      <w:pPr>
        <w:pStyle w:val="TextBody"/>
        <w:bidi w:val="0"/>
        <w:jc w:val="center"/>
        <w:rPr/>
      </w:pPr>
      <w:r>
        <w:rPr/>
        <w:drawing>
          <wp:inline distT="0" distB="0" distL="0" distR="0">
            <wp:extent cx="1885950" cy="2266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85950" cy="2266950"/>
                    </a:xfrm>
                    <a:prstGeom prst="rect">
                      <a:avLst/>
                    </a:prstGeom>
                  </pic:spPr>
                </pic:pic>
              </a:graphicData>
            </a:graphic>
          </wp:inline>
        </w:drawing>
      </w:r>
      <w:r>
        <w:rPr/>
        <w:t> </w:t>
      </w:r>
    </w:p>
    <w:p>
      <w:pPr>
        <w:pStyle w:val="TextBody"/>
        <w:bidi w:val="0"/>
        <w:jc w:val="left"/>
        <w:rPr/>
      </w:pPr>
      <w:r>
        <w:rPr/>
        <w:t> </w:t>
      </w:r>
    </w:p>
    <w:p>
      <w:pPr>
        <w:pStyle w:val="TextBody"/>
        <w:bidi w:val="0"/>
        <w:jc w:val="center"/>
        <w:rPr/>
      </w:pPr>
      <w:r>
        <w:rPr/>
        <w:drawing>
          <wp:inline distT="0" distB="0" distL="0" distR="0">
            <wp:extent cx="2705100" cy="800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705100" cy="80010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i/>
          <w:color w:val="231F20"/>
          <w:sz w:val="20"/>
        </w:rPr>
      </w:pPr>
      <w:r>
        <w:rPr>
          <w:rFonts w:ascii="Times New Roman" w:hAnsi="Times New Roman"/>
          <w:b/>
          <w:i/>
          <w:color w:val="231F20"/>
          <w:sz w:val="20"/>
        </w:rPr>
        <w:t>Clinical Results of Hu19-CD828Z in Oncology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 Phase 1 trial was conducted by the NIH using CAR T cells created with the Hu19-CD828Z CAR, the same CAR used by us to create KYV-101. In this trial, published in </w:t>
      </w:r>
      <w:r>
        <w:rPr>
          <w:rFonts w:ascii="Times New Roman" w:hAnsi="Times New Roman"/>
          <w:i/>
          <w:color w:val="231F20"/>
          <w:sz w:val="20"/>
        </w:rPr>
        <w:t xml:space="preserve">Nature Medicine </w:t>
      </w:r>
      <w:r>
        <w:rPr>
          <w:rFonts w:ascii="Times New Roman" w:hAnsi="Times New Roman"/>
          <w:color w:val="231F20"/>
          <w:sz w:val="20"/>
        </w:rPr>
        <w:t>in 2020, 20 patients with B-cell lymphoma that had failed a median of four prior lines of therapy were treated with Hu19-CD828Z CAR T cells.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overall remission rate was 70%, with 55% of patients obtaining complete responses, or CRs. Eight of 20 patients were in ongoing CRs at the time of the last follow-up. Ongoing CRs at the time of publication of the results had durations of response ranging from 17 to 35 months. Median event-free survival for all patients was six months.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graph sets forth the event-free survival rate of the 20 B-cell lymphoma patients treated with Hu19-CD828Z CAR T cells:</w:t>
      </w:r>
    </w:p>
    <w:p>
      <w:pPr>
        <w:pStyle w:val="TextBody"/>
        <w:bidi w:val="0"/>
        <w:jc w:val="left"/>
        <w:rPr/>
      </w:pPr>
      <w:r>
        <w:rPr/>
        <w:t> </w:t>
      </w:r>
    </w:p>
    <w:p>
      <w:pPr>
        <w:pStyle w:val="TextBody"/>
        <w:bidi w:val="0"/>
        <w:jc w:val="center"/>
        <w:rPr/>
      </w:pPr>
      <w:r>
        <w:rPr/>
        <w:drawing>
          <wp:inline distT="0" distB="0" distL="0" distR="0">
            <wp:extent cx="3409950" cy="238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09950" cy="23812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antitumor results observed with Hu19-CD828Z CAR T cells were comparable to those previously reported in the ZUMA-7 trial of Yescarta®, but there were marked differences in the adverse event profiles for these two CAR T cells.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Patients treated with Hu-19-CD828Z CAR T cells were observed to have significantly lower levels of inflammatory cytokines, such as TNFα and IL-6 than observed at that clinical site with FMC63-28Z CAR T cells. These observations were not based on a single trial of both types of CAR T cells using a standardized protocol and patient population; consequently, the value of such a comparison of alternative therapies is limited.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However, we believe that the published comparison of clinical results observed from Hu-19-CD828Z CAR T cell treatment and FMC63-28Z CAR T cell treatment in a highly respected, peer-reviewed journal support our rationale for advancing the Hu19-CD828Z CAR in our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graph shows the reduced levels of inflammatory cytokines observed in oncology patients treated with Hu19-CD828Z CAR T cells in the NIH Phase 1 trial, compared to those observed in patients treated with FMC63-28Z CAR T cells at the same clinic:</w:t>
      </w:r>
    </w:p>
    <w:p>
      <w:pPr>
        <w:pStyle w:val="TextBody"/>
        <w:bidi w:val="0"/>
        <w:jc w:val="left"/>
        <w:rPr/>
      </w:pPr>
      <w:r>
        <w:rPr/>
        <w:t> </w:t>
      </w:r>
    </w:p>
    <w:p>
      <w:pPr>
        <w:pStyle w:val="TextBody"/>
        <w:bidi w:val="0"/>
        <w:jc w:val="center"/>
        <w:rPr/>
      </w:pPr>
      <w:r>
        <w:rPr/>
        <w:drawing>
          <wp:inline distT="0" distB="0" distL="0" distR="0">
            <wp:extent cx="5943600" cy="2266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2669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Treatment with CAR T cells has also been associated with the development of immune effector cell-associated neurotoxicity syndrome, or ICANS. ICANS can range in seriousness from Grades 1 and 2 toxicities, characterized by mild disorientation of moderately impaired consciousness, to Grades 3 and 4 toxicities, characterized by seizures and life-threatening complications. In the NIH Phase 1 trial, treatment with Hu19-CD828Z CAR T cells resulted in a significantly lower rate of both mild and severe neurotoxicity than previously observed in patients treated with FMC63-CD28Z CAR T cells at the same clinic.</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graph shows the reduced rates of neurotoxicity observed in patients treated with Hu19-CD828Z CAR T cells, compared to patients treated with FMC63-28Z CAR T cells:</w:t>
      </w:r>
    </w:p>
    <w:p>
      <w:pPr>
        <w:pStyle w:val="TextBody"/>
        <w:bidi w:val="0"/>
        <w:jc w:val="left"/>
        <w:rPr/>
      </w:pPr>
      <w:r>
        <w:rPr/>
        <w:t> </w:t>
      </w:r>
    </w:p>
    <w:p>
      <w:pPr>
        <w:pStyle w:val="TextBody"/>
        <w:bidi w:val="0"/>
        <w:jc w:val="center"/>
        <w:rPr/>
      </w:pPr>
      <w:r>
        <w:rPr/>
        <w:drawing>
          <wp:inline distT="0" distB="0" distL="0" distR="0">
            <wp:extent cx="5943600" cy="2152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1526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 this initial clinical trial of Hu19-CD828Z CAR T cells, it was observed that treatment with these cells resulted in lower rates of, and less severe, CRS and neurotoxicity than observed at the same treatment center in a similar trial of FMC63-CD28z CAR T cells, subsequently approved as Yescarta®, while still leading to similar rates of durable antitumor responses. We believe that this favorable profile has the potential to be critical for the application of CAR T-cell therapies in indications such as autoimmune diseases, where there may be lower tolerance for treatment-related serious, and potentially fatal, adverse events.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combination of patient cells, our autologous CAR T-cell manufacturing process, and the underlying Hu19-CD828Z CAR licensed from the NIH results in the product candidate KYV-101 expressing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Hu19-CD828Z CAR. While we do not intend to demonstrate comparability between KYV-101 and the NIH product candidate containing the same underlying CAR, we believe that the differentiated properties of the underlying CAR construct in KYV-101 are critical for the potential success of CAR T cells as autoimmune disease therapies. While we may not be able to use the results from the NIH product candidate in our application for marketing approval to the FDA or other foreign regulatory agencies, we believe that these results reported in a peer-reviewed journal support the differentiated properties of the underlying CAR construct in KYV-101.</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Existing CD19 CAR T Clinical Data</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believe a number of published case study reports describing the use of CD19 CAR T cells for the treatment of autoimmune diseases provide evidence of the potential for KYV-101. A 2021 publication in the </w:t>
      </w:r>
      <w:r>
        <w:rPr>
          <w:rFonts w:ascii="Times New Roman" w:hAnsi="Times New Roman"/>
          <w:i/>
          <w:color w:val="231F20"/>
          <w:sz w:val="20"/>
        </w:rPr>
        <w:t xml:space="preserve">New England Journal of Medicine </w:t>
      </w:r>
      <w:r>
        <w:rPr>
          <w:rFonts w:ascii="Times New Roman" w:hAnsi="Times New Roman"/>
          <w:color w:val="231F20"/>
          <w:sz w:val="20"/>
        </w:rPr>
        <w:t>presented the case of a 20-year-old woman with severe and refractory SLE with lupus nephritis who had been treated with glucocorticoids, mycophenolate mofetil, cyclophosphamide, tacrolimus, rituximab and belimumab, yet her symptoms and autoimmune disease were not suppressed. Rapid remission of symptoms and autoantibody levels as measured by the Systemic Lupus Erythematosus Disease Activity Index, or SLEDAI, Score, were observed in this patient following a single treatment with autologous CD19 CAR T cells. Levels of proteinuria decreased from above 2000 mg of protein per gram of creatine to less than 250 mg of protein per gram of creatine. This patient has been in remission for at least 600 days. Importantly, this long-term remission was sustained without the use of corticosteroids or other immunosuppressive medications – avoiding the requirement for more potent immunosuppressants and their associated toxicities.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graph shows a rapid reduction in symptoms and autoantibody levels following CAR T-cell therapy observed in a patient with severe SLE and lupus nephritis refractory to other therapies:</w:t>
      </w:r>
    </w:p>
    <w:p>
      <w:pPr>
        <w:pStyle w:val="TextBody"/>
        <w:bidi w:val="0"/>
        <w:jc w:val="left"/>
        <w:rPr/>
      </w:pPr>
      <w:r>
        <w:rPr/>
        <w:t> </w:t>
      </w:r>
    </w:p>
    <w:p>
      <w:pPr>
        <w:pStyle w:val="TextBody"/>
        <w:bidi w:val="0"/>
        <w:jc w:val="center"/>
        <w:rPr/>
      </w:pPr>
      <w:r>
        <w:rPr/>
        <w:drawing>
          <wp:inline distT="0" distB="0" distL="0" distR="0">
            <wp:extent cx="4429125" cy="3371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429125" cy="33718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A subsequent publication in 2022 in </w:t>
      </w:r>
      <w:r>
        <w:rPr>
          <w:rFonts w:ascii="Times New Roman" w:hAnsi="Times New Roman"/>
          <w:i/>
          <w:color w:val="231F20"/>
          <w:sz w:val="20"/>
        </w:rPr>
        <w:t xml:space="preserve">Nature Medicine </w:t>
      </w:r>
      <w:r>
        <w:rPr>
          <w:rFonts w:ascii="Times New Roman" w:hAnsi="Times New Roman"/>
          <w:color w:val="231F20"/>
          <w:sz w:val="20"/>
        </w:rPr>
        <w:t>provides further support for the potential of CD19 CAR T cells for the treatment of SLE with lupus nephritis. All five patients presented in this publication treated with CD19 CAR T cells experienced improvements in SLEDAI-2K scores with scores of zero observed in four patients by three months post treatment and a score of two in one patient due to residual low-level proteinuria, which was likely due to previously accumulated kidney damage.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following graph illustrates the improvement of SLE signs and symptoms observed in five patients treated with CD19 CAR T cells in the </w:t>
      </w:r>
      <w:r>
        <w:rPr>
          <w:rFonts w:ascii="Times New Roman" w:hAnsi="Times New Roman"/>
          <w:i/>
          <w:color w:val="231F20"/>
          <w:sz w:val="20"/>
        </w:rPr>
        <w:t xml:space="preserve">Nature Medicine </w:t>
      </w:r>
      <w:r>
        <w:rPr>
          <w:rFonts w:ascii="Times New Roman" w:hAnsi="Times New Roman"/>
          <w:color w:val="231F20"/>
          <w:sz w:val="20"/>
        </w:rPr>
        <w:t>case reports:</w:t>
      </w:r>
    </w:p>
    <w:p>
      <w:pPr>
        <w:pStyle w:val="TextBody"/>
        <w:bidi w:val="0"/>
        <w:jc w:val="left"/>
        <w:rPr/>
      </w:pPr>
      <w:r>
        <w:rPr/>
        <w:t> </w:t>
      </w:r>
    </w:p>
    <w:p>
      <w:pPr>
        <w:pStyle w:val="TextBody"/>
        <w:bidi w:val="0"/>
        <w:jc w:val="center"/>
        <w:rPr/>
      </w:pPr>
      <w:r>
        <w:rPr/>
        <w:drawing>
          <wp:inline distT="0" distB="0" distL="0" distR="0">
            <wp:extent cx="3657600" cy="3162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316230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Several important observations from this publication provide insight into the potential value of CD19 CAR T-cell therapy.</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Elimination of autoantibodies</w:t>
      </w:r>
      <w:r>
        <w:rPr>
          <w:rFonts w:ascii="Times New Roman" w:hAnsi="Times New Roman"/>
          <w:color w:val="231F20"/>
          <w:sz w:val="20"/>
        </w:rPr>
        <w:t>. Autoantibodies against common antigens in SLE, such as dsDNA, disappeared from the five patients, as well as autoantibodies against other antigens.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Immune system reset</w:t>
      </w:r>
      <w:r>
        <w:rPr>
          <w:rFonts w:ascii="Times New Roman" w:hAnsi="Times New Roman"/>
          <w:color w:val="231F20"/>
          <w:sz w:val="20"/>
        </w:rPr>
        <w:t xml:space="preserve">. CAR T cells were observed to expand </w:t>
      </w:r>
      <w:r>
        <w:rPr>
          <w:rFonts w:ascii="Times New Roman" w:hAnsi="Times New Roman"/>
          <w:i/>
          <w:color w:val="231F20"/>
          <w:sz w:val="20"/>
        </w:rPr>
        <w:t xml:space="preserve">in vivo </w:t>
      </w:r>
      <w:r>
        <w:rPr>
          <w:rFonts w:ascii="Times New Roman" w:hAnsi="Times New Roman"/>
          <w:color w:val="231F20"/>
          <w:sz w:val="20"/>
        </w:rPr>
        <w:t>following treatment, and B cells were rapidly and deeply depleted upon initiation of treatment, but all five patients experienced B-cell reconstitution after an average time of 110 days with no relapse of SLE.</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Preservation of vaccination responses</w:t>
      </w:r>
      <w:r>
        <w:rPr>
          <w:rFonts w:ascii="Times New Roman" w:hAnsi="Times New Roman"/>
          <w:color w:val="231F20"/>
          <w:sz w:val="20"/>
        </w:rPr>
        <w:t>. No substantial decline in immune responses against common vaccines, including measles, rubella, mumps, varicella zoster, hepatitis B, tetanus, diphtheria and pneumococci, were detected compared to baseline.</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b/>
          <w:color w:val="231F20"/>
          <w:sz w:val="20"/>
        </w:rPr>
        <w:t>Treatment was well tolerated</w:t>
      </w:r>
      <w:r>
        <w:rPr>
          <w:rFonts w:ascii="Times New Roman" w:hAnsi="Times New Roman"/>
          <w:color w:val="231F20"/>
          <w:sz w:val="20"/>
        </w:rPr>
        <w:t>. Either no CRS or only mild CRS was reported for all five patients. Fever (CRS Grade 1) occurred in three of five patients, which was successfully treated, and body temperature and heart rate at ten days post-treatment were generally consistent with baseline levels. No cases of ICANS or treatment-related infections were reported.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rapid depletion of B cells upon initiation of treatment in these patients and subsequently observed naïve B-cell reconstitution suggest that CD19 CAR T-cell therapy could potentially be used to reset the immune system. We believe that the ability to reset the immune system with a single, well-tolerated treatment could provide the opportunity to improve the patient experience for those suffering from lupus nephritis, offering potential long-term benefits without the costs, inconveniences and toxicities associated with repeat treatments of existing therapies.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KYV-101 Clinical Development in Lupus Nephritis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KYV-101 is an autologous CAR T cell generated using the same underlying Hu19-CD828Z CAR used by the NIH in CAR T cells to treat oncology patients. We have initiated two clinical trials of KYV-101 in patients with lupus nephritis, or LN. KYSA-1 is an open-label, multicenter, U.S.-based trial in which we intend to enroll 12 adult patients with refractory lupus nephritis. The primary endpoints of KYSA-1 are the incidence of adverse events and laboratory abnormalities and the frequency of dose-limiting toxicities. Secondary endpoints of KYSA-1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characterizing pharmacokinetics and pharmacodynamics, evaluating disease-related biomarkers, evaluating efficacy including Complete Renal Response, or CRR, and time to CRR, and evaluating immunogenicity. KYSA-3 is a similar trial based in Germany where we aim to enroll six to 12 patients in the Phase 1 portion of the trial and up to 20 patients in the Phase 2 portion. The Phase 1 primary endpoints of KYSA-3 are the incidence of adverse events and laboratory abnormalities and the frequency of dose-limiting toxicities; the Phase 2 primary endpoints are the incidence of adverse events and laboratory abnormalities and the CRR rate. Secondary endpoints include evaluating disease-related biomarkers, efficacy, including CRR and time to CRR, and immunogenicity. Both trials are currently enrolling patients: we dosed our first patient in the KYSA-1 trial in July 2023 and we dosed our first patient in the KYSA-3 trial in November 2023.</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chose LN as the initial indication for our clinical development program because of the well-defined patient population and the ability to select objective clinical endpoints to support regulatory approval. While there is significant overlap between SLE and LN patients given that 50% to 75% of SLE patients develop LN during the course of the disease, SLE and its associated SLEDAI-2K scores have historically been known to experience variability in its physician-assessed measures. On the other hand, proteinuria, elevated levels of protein released in urine, serves as a biological marker of LN disease activity and potential renal damage, and provides a more objective clinical endpoint through which we can measure the potential clinical benefits of KYV-101. During the treatment of LN, physicians can screen for proteinuria through Urinary Protein-Creatinine Ratio, or UPCR, in a spot urine sample to score renal activity. Resolution of proteinuria, measured through UPCR, is therefore used as a key component in the quantitative and objective composite endpoint, CRR, which we use as an endpoint for KYSA-1 and KYSA-3. CRR has been accepted as a registration-enabling endpoint for LN clinical trials.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early results available as of December 31, 2023, from the first two adult patients enrolled in our KYSA-1 LN trial and from the first adult patient enrolled in our KYSA-3 LN trial, we observed improvement in UPCR as detailed in the below figure. As a baseline, patient 1 in our KYSA-1 LN trial, diagnosed with SLE nine years prior, had Class IV LN with persistent proteinuria despite treatment with mycophenolate mofetil, cyclophosphamide, tacrolimus, sirolimus, rituximab, belimumab and glucocorticoids. After KYV-101 treatment therapy, patient 1 discontinued immunosuppressive therapy except 10 mg prednisone, which was discontinued on day 31. Patient 2 in our KYSA-1 LN trial, who had SLE for two years prior to treatment, had failed numerous immunosuppressive therapies for persistently active Class IV LN. Treatment with KYV-101 was well tolerated, with Grade 1 CRS on days 5 and 6 for patient 1, and days 10 and 11 for patient 2, which responded to acetaminophen. No ICANS or other serious adverse events were observed. As expected, we observed prolonged CD19+ B-cell depletion following KYV-101 treatment, whereas levels of neutrophils, hemoglobin and platelets were normalized within several weeks. By day 56, evidence of B-cell recovery was observed in patient 1. For patient 1, UPCR improved from 1.5 at baseline to 0.5 by day 56 and improved to below 0.5 by day 120 without glucocorticoids or immunosuppressive therapy. For patient 2, UPCR improved from 3.4 at baseline to 0.6 by around day 30. For patient 1 on the KYSA-3 LN trial, we observed effective CD19+ B-cell depletion following KYV-101 treatment, and UPCR improved from 2.5 at baseline to 1.1 by day 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562600" cy="2981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62600" cy="2981325"/>
                    </a:xfrm>
                    <a:prstGeom prst="rect">
                      <a:avLst/>
                    </a:prstGeom>
                  </pic:spPr>
                </pic:pic>
              </a:graphicData>
            </a:graphic>
          </wp:inline>
        </w:drawing>
      </w:r>
      <w:r>
        <w:rPr/>
        <w:t> </w:t>
      </w:r>
    </w:p>
    <w:p>
      <w:pPr>
        <w:pStyle w:val="TextBody"/>
        <w:bidi w:val="0"/>
        <w:spacing w:before="8" w:after="283"/>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following figure shows anti-dsDNA and complement levels (C3 and C4) which are additional biomarkers used clinically to assess disease activity in lupus. Increase in anti-dsDNA antibodies and a decrease in complement levels may be associated with higher disease activity.</w:t>
      </w:r>
    </w:p>
    <w:p>
      <w:pPr>
        <w:pStyle w:val="TextBody"/>
        <w:bidi w:val="0"/>
        <w:jc w:val="left"/>
        <w:rPr/>
      </w:pPr>
      <w:r>
        <w:rPr/>
        <w:t> </w:t>
      </w:r>
    </w:p>
    <w:p>
      <w:pPr>
        <w:pStyle w:val="TextBody"/>
        <w:bidi w:val="0"/>
        <w:jc w:val="center"/>
        <w:rPr/>
      </w:pPr>
      <w:r>
        <w:rPr/>
        <w:drawing>
          <wp:inline distT="0" distB="0" distL="0" distR="0">
            <wp:extent cx="5848350" cy="238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48350" cy="23812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We believe that in addition to the potential to deliver therapeutic benefits, safety and tolerability are critical factors for the application of CAR T cells to treat chronic diseases such as autoimmune diseases. As of December 31, 2023, three LN patients have been treated with KYV-101 as part of KYSA-1 or KYSA-3. Serious grade CRS and ICANS have not been observed in these patients through that date, consistent with the NIH Phase 1 observations from oncology patients treated with CAR T cells created with the same CAR, as described above under “</w:t>
      </w:r>
      <w:r>
        <w:rPr>
          <w:rFonts w:ascii="Times New Roman" w:hAnsi="Times New Roman"/>
          <w:i/>
          <w:color w:val="231F20"/>
          <w:sz w:val="20"/>
        </w:rPr>
        <w:t>Potential to overcome CRS challenges of CAR T therapy”</w:t>
      </w:r>
      <w:r>
        <w:rPr>
          <w:rFonts w:ascii="Times New Roman" w:hAnsi="Times New Roman"/>
          <w:color w:val="231F20"/>
          <w:sz w:val="20"/>
        </w:rPr>
        <w: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Clinical Applications of KYV-101 in Other Indications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in the near term to also pursue clinical trials of KYV-101 in systemic sclerosis, myasthenia gravis, and multiple sclerosis.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Systemic Sclerosis (SSc) Disease 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SSc is a chronic, systemic autoimmune disease with three types of manifestations: vascular injury, immune abnormality characterized by autoantibodies and fibrosis. SSc can affect multiple internal organs in the body, including the lungs, heart, kidneys, joints, muscles, esophagus, stomach and intestines.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One of the most common and earliest symptoms of SSc is the so-called Raynaud phenomenon, which involves decreased blood flow to the extremities in response to cold temperatures. This can lead to temporary finger discoloration, numbness and pain and is also associated with the development of finger ulcers. Other symptoms of SSc include muscle and joint pain, skin tightening and dilated blood vessels that can be seen through the skin. Scarring of internal organs can also lead to gastrointestinal, pulmonary, cardiac and renal disease. Up to 90% of SSc patients develop interstitial lung disease, or ILD, a loss of lung capacity due to fibrosis. A less common but life-threatening complication of SSc is pulmonary arterial hypertension, or PAH, which has emerged as a leading cause of morbidity and mortality. Patients with ILD who develop PAH have a one-year mortality rate of over 60%.</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prevalence of SSc in Europe, the United States and Japan is approximately 200,000. Currently, there are no FDA-approved disease modifying therapies specifically labeled to treat SSc, although therapies have been approved for various organ-specific complications such as ILD and PAH. Immunosuppressants with significant toxicities are commonly used to treat SSc; however, there is a general absence of clinical data to support their use.</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B Cell-Directed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Because SSc is believed to be driven by B cells, it has been proposed that rituximab, an anti-CD20 monoclonal antibody, may provide therapeutic benefit. However, clinical results of rituximab in SSc patients have been mixed, with some reports claiming significant benefits and others reporting that the clinical effect achieved with rituximab was not significantly better than with standard of care. The use of CD19 CAR T cells has been proposed as an alternative, based on the hypothesis that the weak activity of anti-CD20 monoclonal antibody treatments is due to insufficient depletion of B cells.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one case report, a patient with SSc having interstitial pneumonia as the main manifestation continued to progress while on glucocorticoid and cyclophosphamide treatment. Treatment with CD19 CAR T cells led to a reduction in cough and improvement in interstitial pneumonia. In another published case report, a patient with treatment-refractory SSc with skin, lung and heart fibrosis and carpal arthritis was treated with CD19 CAR T cells. By three months after treatment, levels of autoantibodies were no longer detectable and lung fibrosis and function remained stable, with cardiac fibrosis and function remaining stable at six months after treatment. Carpal arthritis improved by three months and tender joint counts improved from 22 at baseline to three.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KYV-101 Clinical Development in SSc</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received FDA clearance for an IND for the treatment of SSc with KYV-101 in October 2023, and we are initiating our planned KYSA-5 Phase 1/2 open-label, multicenter, U.S.-based trial to evaluate KYV-101 in adult patients with SSc. We intend to enroll approximately six patients in the Phase 1 portion of the trial and up to 15 patients in the Phase 2 portion of the trial. Phase 1 primary endpoints will be incidence of adverse events and laboratory abnormalities. Phase 2 primary endpoints will be incidence of adverse events and laboratory abnormalities and the Revised Composite Response Index in Systemic Sclerosis, or rCRISS, response rate at 52 weeks. Secondary endpoints include evaluating other efficacy scores, disease related biomarkers, and immunogenicity.</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Myasthenia Gravis (MG) Disease Background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MG is an autoimmune disorder associated with muscle weakness. MG patients develop antibodies that lead to an immunological attack on critical signaling proteins at the junction between nerve and muscle cells, thereby inhibiting the ability of nerves to communicate properly with muscles. This leads to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progresses, symptom-free periods become less frequent and disease exacerbations can last for months. Disease symptoms reach their maximum levels within two to three years in approximately 80% of patients. Up to 20% of MG patients experience respiratory crisis at least once in their lives. During the crisis phase, decline in respiratory function can become life-threatening. Patients in crisis often require intubation and mechanical ventilation. The prevalence of MG is estimated to be 1 in 5,000, with up to 60,000 cases in the United States.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Over 80% of patients with MG have antibodies to the acetylcholine receptor, or AchR, which is the receptor for the neurotransmitter acetylcholine. The presence of these autoimmune antibodies blocks the signaling from neurons to muscles, which results in outward signs of muscle weakness. The pathology in MG arises not only from the interruption of signal transduction, but also from the physical destruction of the post-synaptic membrane through activation of the complement system, which can lead to complement-driven lysis of the post-synaptic membrane.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Current Treatment Paradigm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Early-stage MG is symptomatically treated by the use of acetylcholinesterase inhibitors such as pyridostigmine, which block the breakdown of acetylcholine, thereby increasing its concentration. This compensates for some of the loss of receptors due to the autoimmune antibodies targeting AchR. As the disease progresses, patients are typically treated with immunomodulating agents such as glucocorticoids, mycophenolate and cyclosporine, each of which is associated with significant side effects and in some cases lead to disease exacerbation.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Physicians direct patients with more advanced disease and patients in crisis to therapies that reduce circulating IgG antibodies. Published studies have shown that decreases in circulating IgG antibody levels are correlated with increased relief of symptoms and decreases in the length of hospital stays.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One method for reducing levels of circulating antibodies is to block the antibody recycling pathway. Antibodies that recognize receptors on the surface of cells are often internalized by these cells into vesicles called endosomes. However, a specific receptor, FcRn, can recognize IgG antibodies and recycle them back out of the cell, thus prolonging their half-life and in the process increasing the overall levels of circulating IgG antibodies. Blockage of this pathway with efgartigimod alpha, marketed as Vyvgart® by Argenx, has been found to result in decreases in circulating antibody levels of up to 70%. Treatment with efgartigimod led to significant improvements in patients as measured by both the Myasthenia Gravis-Specific Activities of Daily Living scale and the Quantitative Myasthenia Gravis score, which measures muscle weakness. However, long-term maintenance of this response has been found to require multiple repeat treatments per year.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another frequently used approach, physicians will administer high levels of IgG antibodies derived from pooled human blood or intravenous immunoglobulin or IVIg. IVIg provides therapeutic benefit through multiple potential mechanisms, including the saturation of the FcRn receptor, which leads to increased degradation of the endogenous autoimmune antibodies. IVIg treatment for MG requires infusions of immunoglobulin isolated from thousands of patients and these infusions are usually repeated daily to obtain significant reductions in symptoms. The large volumes of intravenous fluid associated with the administration of IVIg can lead to pulmonary edema and kidney problems in elderly patients.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treatments, such as eculizumab and ravulizumab, marketed as Soliris® and Ultomiris® by Alexion, respectively, block complement activation and have been approved by the FDA for the treatment of MG and other autoimmune diseases. However, as with efgartigimod, long-term responses require repeat treatments.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targeted destruction of autoantibody-producing B cells offers the potential to lead to rapid reductions in autoantibody levels and through the ability to reset the immune system provide durable benefits without the need for regular retreatments.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Named Patient Case Reports of KYV-101 for Treatment of MG</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results of the first MG patient treated with KYV-101 on a named patient basis have been published in </w:t>
      </w:r>
      <w:r>
        <w:rPr>
          <w:rFonts w:ascii="Times New Roman" w:hAnsi="Times New Roman"/>
          <w:i/>
          <w:color w:val="231F20"/>
          <w:sz w:val="20"/>
        </w:rPr>
        <w:t>Lancet Neurology</w:t>
      </w:r>
      <w:r>
        <w:rPr>
          <w:rFonts w:ascii="Times New Roman" w:hAnsi="Times New Roman"/>
          <w:color w:val="231F20"/>
          <w:sz w:val="20"/>
        </w:rPr>
        <w:t xml:space="preserve">. The patient was refractory to other treatments and had severe and highly refractory disease,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swallowing and breathing, the inability to walk without assistive devices and several prior myasthenic crises, resulting in five ICU admissions requiring invasive ventilation in the past 18 months. Following KYV-101 infusion, the patient was not observed to experience any adverse events related to KYV-101 treatment. A 70% reduction in pathogenic autoantibodies was reported at day 62 while protective vaccination IgG titers were maintained. Following treatment with KYV-101, the patient was observed to have improved muscle strength based on enhanced walking ability without any supportive measures, reduction of the clinical multiparameter Besinger disease activity score, and reduction of the quantitative MG (QMG) scores, as shown in the below graphs.</w:t>
      </w:r>
    </w:p>
    <w:p>
      <w:pPr>
        <w:pStyle w:val="TextBody"/>
        <w:bidi w:val="0"/>
        <w:jc w:val="left"/>
        <w:rPr/>
      </w:pPr>
      <w:r>
        <w:rPr/>
        <w:t> </w:t>
      </w:r>
    </w:p>
    <w:p>
      <w:pPr>
        <w:pStyle w:val="TextBody"/>
        <w:bidi w:val="0"/>
        <w:jc w:val="center"/>
        <w:rPr/>
      </w:pPr>
      <w:r>
        <w:rPr/>
        <w:drawing>
          <wp:inline distT="0" distB="0" distL="0" distR="0">
            <wp:extent cx="5791200" cy="2571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91200" cy="25717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results from a second MG patient treated with KYV-101 on a named patient basis were accepted for presentation as a late-breaking abstract at the 96th Congress of the German Society of Neurology in November 2023, and at the American Academy of Neurology conference in April 2024. Treatment with KYV-101 in this patient was well tolerated, with low-grade CAR T-cell adverse events, including moderate flu-like symptoms consistent with Grade 1-2 CRS readily managed with standard agents and Grade 1 ICANS. After treatment with KYV-101, successful depletion of B cells, reduction in autoantibody levels and recovery of muscle strength were observed. The abstract reports that within two months of treatment with KYV-101 the patient moved from wheelchair dependence to bicycling and at four months of treatment with KYV-101 started mountain touring. The graph below shows the reduction in QMG score observed in the first two MG patients treated with KYV-101 in a named patient treatment across two separate clinical sites:</w:t>
      </w:r>
    </w:p>
    <w:p>
      <w:pPr>
        <w:pStyle w:val="TextBody"/>
        <w:bidi w:val="0"/>
        <w:jc w:val="left"/>
        <w:rPr/>
      </w:pPr>
      <w:r>
        <w:rPr/>
        <w:t> </w:t>
      </w:r>
    </w:p>
    <w:p>
      <w:pPr>
        <w:pStyle w:val="TextBody"/>
        <w:bidi w:val="0"/>
        <w:jc w:val="center"/>
        <w:rPr/>
      </w:pPr>
      <w:r>
        <w:rPr/>
        <w:drawing>
          <wp:inline distT="0" distB="0" distL="0" distR="0">
            <wp:extent cx="2886075" cy="2686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886075" cy="268605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 total, six MG patients have been treated with KYV-101 on a named patient basis as of December 31, 2023. While we do not expect to be able to use the results from these case reports in our application for marketing approval to the FDA or other foreign regulatory agencies, we believe that these results reported in a peer-reviewed journal and academic conferences address our mission to prioritize patient needs while providing us insight to help de-risk future Kyverna-sponsored clinical trials.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KYV-101 Clinical Development in MG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received FDA clearance for an IND for the treatment of MG with KYV-101, and are initiating our planned KYSA-6 Phase 2 open-label, multicenter, U.S.-based trial in which we intend to enroll approximately 20 adult patients with MG. Primary endpoints will be incidence and severity of adverse events and laboratory abnormalities and myasthenia gravis activities of daily living score, or MG-ADL, at 24 weeks. Secondary endpoints include evaluating other efficacy scores and disease related biomarkers.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Multiple Sclerosis (MS) Disease 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MS is a chronic disorder of the central nervous system characterized by inflammation-driven neurodegeneration. MS is associated with symptoms that include blurred vision, slurred speech, tremors, numbness, extreme fatigue, and problems with memory and concentration. Most MS patients experience muscle weakness in their extremities and difficulty with coordination and balance. These symptoms may be severe enough to impair walking or even standing. Although MS is not considered to be a fatal disease, it can lead to significant morbidity, including paralysis.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MS is the most common progressive neurologic disease of young adults worldwide. According to the National Multiple Sclerosis Society, over 2.8 million people worldwide and nearly one million people in the United States are living with MS. We estimate that there are over 1.5 million patients diagnosed with MS in the United States, the European Union and Japan.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common pathology in MS patients is immune-mediated destruction of the myelin sheath that surrounds and protects nerve cells. While MS is generally thought to be an autoimmune disease, its exact cause is unknown. The FDA has approved over 25 therapies for MS that reduce the immune system attack, decrease the rate of relapses and delay progression of disability. However, to our knowledge, none of the approved therapies are able to reset the immune system to stop disease progression. Initial MS therapy typically involved anti-inflammatory drugs such as corticosteroids that are effective in suppressing inflammatory exacerbations during relapses, but do not alter the long-term outcome of the disease. Most patients are treated with injectable anti-inflammatory treatments such beta interferon that can slow disease progression but are associated with significant side effects. More potent anti-inflammatory drugs such as natalizumab, marketed as Tysabri© by Biogen, have been approved to treat MS, but are associated with life-threatening complications.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the FDA approval in 2017 of ocrelizumab, an anti-CD20 monoclonal antibody marketed as Ocrevus® by Genentech, provides strong support for the importance of B cells in driving the frequency of relapses and disease progression in MS. However, approximately 18% of ocrelizumab-treated patients still experience relapses and 10% of patients experience disease progression.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CD19 CAR T cells, such as those delivered as part of KYV-101, have the potential to improve patient responses in MS through their ability to deeply penetrate tissues than monoclonal antibodies, increasing the potential to reset the immune system and eliminate pathogenic B cells. A recent publication by Drs. Sasha Gupta and Scott Zamvil of the University of California San Francisco and colleagues describes results from a mouse model that provide further support for the potential benefits of complete B-cell depletion using CD19 CAR T cells in MS.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2023, two MS patients have been treated with KYV-101 on a named patient basis, and these patients experienced no ICANS and only one patient experienced Grade 1 CRS. In addition, in September 2023, Stanford received IND clearance for an investigator-initiated trial of KYV-101 in 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KYV-101 Clinical Development in MS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received FDA clearance for an IND for the treatment of MS with KYV-101 in December 2023, and we are initiating our planned KYSA-7 Phase 2 open-label, multicenter, U.S.-based trial in which we intend to enroll approximately 120 adult patients with MS. The primary endpoint will be Confirmed Disability Progression, and secondary endpoints include measures of safety, additional efficacy assessments, and disease related biomarkers.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Summary of KYV-101 Clinical Development and Named Patient Treatments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2023, 14 patients have been dosed with KYV-101, three of which were in Kyverna-sponsored clinical trials, as shown below. Of those 14 patients, 13 have reached day 28 follow-up. The following table sets forth the number of patients currently in progress for treatment with KYV-101 across Kyverna-sponsored clinical trials, investigator-initiated trials and named patient activities.</w:t>
      </w:r>
    </w:p>
    <w:p>
      <w:pPr>
        <w:pStyle w:val="TextBody"/>
        <w:bidi w:val="0"/>
        <w:jc w:val="left"/>
        <w:rPr/>
      </w:pPr>
      <w:r>
        <w:rPr/>
        <w:t> </w:t>
      </w:r>
    </w:p>
    <w:p>
      <w:pPr>
        <w:pStyle w:val="TextBody"/>
        <w:bidi w:val="0"/>
        <w:jc w:val="center"/>
        <w:rPr/>
      </w:pPr>
      <w:r>
        <w:rPr/>
        <w:drawing>
          <wp:inline distT="0" distB="0" distL="0" distR="0">
            <wp:extent cx="5943600" cy="2352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2352675"/>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following table sets forth reports of CRS and ICANS after treatment with CD19 CAR T-cell therapy with KYV-101 in Kyverna-sponsored clinical trials, investigator-initiated trials and named patient activities across six centers for the first 13 patients with 28 day follow-up, compared to published case reports in 15 patients with autoimmune diseases treated at a single center with a CD19 CAR T-cell therapy and three published pivotal clinical trials in oncology patients that led to the approval of CAR T-cell therapies for oncology indications. The CAR in KYV-101 contains a fully human binder whereas the other CD19 CAR T-cell therapies reported in the following table contain murine binders.</w:t>
      </w:r>
    </w:p>
    <w:p>
      <w:pPr>
        <w:pStyle w:val="TextBody"/>
        <w:bidi w:val="0"/>
        <w:jc w:val="left"/>
        <w:rPr/>
      </w:pPr>
      <w:r>
        <w:rPr/>
        <w:t> </w:t>
      </w:r>
    </w:p>
    <w:p>
      <w:pPr>
        <w:pStyle w:val="TextBody"/>
        <w:bidi w:val="0"/>
        <w:jc w:val="center"/>
        <w:rPr/>
      </w:pPr>
      <w:r>
        <w:rPr/>
        <w:drawing>
          <wp:inline distT="0" distB="0" distL="0" distR="0">
            <wp:extent cx="5905500" cy="1628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05500" cy="16287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Based on these reports and results, patients with autoimmune diseases have been observed to tolerate treatment with CAR T-cell therapies without experiencing the Grade 3 and above CRS and ICANS adverse events seen in the oncology trials. These limited observations are derived from separate clinical settings, and with respect to the autoimmune data are based primarily on information from case reports rather than clinical trials. They do not represent head-to-head comparisons of CD19 CAR T-cell treatment in autoimmune indications as compared to oncology indications. Although there is insufficient evidence to claim that CAR T-cell therapy is better tolerated in the treatment of autoimmune disease than oncology, there is no data to suggest that there is a high risk of developing serious grade CRS and ICANS in autoimmune disease. Future clinical trials may not confirm the clinical safety observations discussed in these case reports and studies.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the following table sets forth CAR T-related safety events and follow-up as of December 31, 2023, for the first thirteen autoimmune patients treated with KYV-101 across six separate sites, either as part of our sponsored KYSA-1 trial, our sponsored KYSA-3 trial, or in an investigator-initiated trial or named patient setting.</w:t>
      </w:r>
    </w:p>
    <w:p>
      <w:pPr>
        <w:pStyle w:val="TextBody"/>
        <w:bidi w:val="0"/>
        <w:spacing w:before="1" w:after="283"/>
        <w:jc w:val="left"/>
        <w:rPr/>
      </w:pPr>
      <w:r>
        <w:rPr/>
        <w:t> </w:t>
      </w:r>
    </w:p>
    <w:p>
      <w:pPr>
        <w:pStyle w:val="TextBody"/>
        <w:bidi w:val="0"/>
        <w:spacing w:before="1" w:after="283"/>
        <w:jc w:val="center"/>
        <w:rPr/>
      </w:pPr>
      <w:r>
        <w:rPr/>
        <w:drawing>
          <wp:inline distT="0" distB="0" distL="0" distR="0">
            <wp:extent cx="5943600" cy="288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2886075"/>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CAR related safety events, if encountered, were low grade and readily manageable. There were no serious CRS or ICANS toxicities observed in such patients after being dosed with KYV-101 for the treatment of MG (six patients), lupus nephritis (three patients), MS (two patients), stiff person syndrome, or SPS, and anti-DAGLA encephalitis, or DE. As of December 31, 2023, time since infusion for the first MG patient treated with KYV-101 in a named patient setting was 215 days (approximately seven months) and time since infusion for the first LN patient treated with KYV-101 in the KYSA-1 Phase 1 trial was 160 days (approximately five months). Future clinical results, including in our clinical development program for KYV-101, may not confirm the safety observations discussed in the early clinical data from our trials, investigator-initiated trials and named patient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early clinical experience with KYV-101 with regard to dosing and the kinetics of CAR T-cell expansion has benefited from data obtained from an NIH Phase 1 trial of an additional 20 oncology patients who were treated with CAR T cells created using the identical CAR as used in KYV-101. We have not observed any clinically meaningful differences in the kinetics or the extent of CAR T-cell expansion with KYV-101 compared to the results reported with these prior CAR T cells containing the identical CAR. The following chart sets forth cell expansion of CAR T cells with the same Hu19-CD828z CAR across 28 patients, with 20 DLBCL patients treated with the NIH CAR T cells in the NIH Phase 1 trial and the first eight autoimmune patients treated with KYV-101 in KYSA-1 or in an investigator-initiated trial or named patient setting:</w:t>
      </w:r>
    </w:p>
    <w:p>
      <w:pPr>
        <w:pStyle w:val="TextBody"/>
        <w:bidi w:val="0"/>
        <w:jc w:val="left"/>
        <w:rPr/>
      </w:pPr>
      <w:r>
        <w:rPr/>
        <w:t> </w:t>
      </w:r>
    </w:p>
    <w:p>
      <w:pPr>
        <w:pStyle w:val="TextBody"/>
        <w:bidi w:val="0"/>
        <w:jc w:val="center"/>
        <w:rPr/>
      </w:pPr>
      <w:r>
        <w:rPr/>
        <w:drawing>
          <wp:inline distT="0" distB="0" distL="0" distR="0">
            <wp:extent cx="3333750" cy="2286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333750" cy="2286000"/>
                    </a:xfrm>
                    <a:prstGeom prst="rect">
                      <a:avLst/>
                    </a:prstGeom>
                  </pic:spPr>
                </pic:pic>
              </a:graphicData>
            </a:graphic>
          </wp:inline>
        </w:drawing>
      </w:r>
      <w:r>
        <w:rPr/>
        <w:t> </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Manufacturing Capabilities and Industrialization of Autologous CAR T-cell Therapies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developing a robust manufacturing process for KYV-101, and we have partnered with WuXi, an experienced contract development and manufacturing organization, to generate KYV-101 for our near-term Kyverna-sponsored clinical trials, investigator initiated trials and named patient activities.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parallel, we are developing Ingenui-T, a manufacturing process designed to improve patient experience and manufacturing capabilities through partnerships with world-class organizations in cell therapy manufacturing, including ElevateBio, LLC. Ingenui-T represents an industrialization of CAR T-cell therapy manufacturing by adapting industry-leading CAR T manufacturing processes to the needs of autoimmune disease patients. We believe that innovations associated with Ingenui-T will improve manufacturing throughput and quality control and have the potential to achieve industry-leading cost of goods.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Given the reduced criticality of turnaround time in many autoimmune diseases as compared to oncology, we believe that in developing CAR T-cell therapies designed specifically for autoimmunity, we can focus on reducing cost of goods and improving patient experience. Our Ingenui-T process is evaluating potential transformational changes in the manufacturing and administration of CAR T-cell therapies including the process of isolating the starting immune cells from patients, the introduction of the CAR construct, and the expansion of modified cells. We believe that through Ingenui-T we will be able to generate CAR T cells that provide the potential to further optimize the patient experience through modification of the treatment protocols used before and after administration of CAR T cells.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KYV-201, an Allogeneic CD19 CAR T-cell Product Candidate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Over the longer term, we believe that some patients will benefit from an off-the-shelf CD19 CAR T-cell therapy manufactured from healthy donors. To that end, we established a partnership with Intellia to create allogeneic T-cell therapies. Through this partnership, we are developing KYV-201, an allogeneic version of KYV-101 that combines Intellia’s world-leading expertise in gene editing with both our Hu19-CD828Z CAR construct and our broad network of clinical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Developing allogeneic CAR T cells has long been a desire in the field of oncology. However, the clinical results obtained to date in oncology have failed to demonstrate equivalence or superiority of allogeneic CAR T cells, which tend to have a short lifespan due to immunological rejection, compared to autologous therapies. Because of these shortcomings compared to autologous therapies and their well-established regulatory pathway, clinical development of CAR T-cell therapies has been primarily focused on autologous T cells.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a potential advantage of using allogeneic CAR T cells in autoimmune disease as compared to oncology is that a deep, but transient, suppression of B cells in autoimmune disease may be sufficient to reset the immune system and provide long-term durable responses, rather than requiring prolonged suppression of B cells and correspondingly, a prolonged presence of CAR T cells. Whereas the lack of long-term persistence of allogeneic CAR T cells in oncology patients may be a detriment in oncology treatment, we believe it may have little or no negative impact on outcomes in the treatment of autoimmune diseases.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key to developing allogeneic T cells is twofold: one, to eliminate the ability of the graft cells to attack normal host cells; and, two, to limit the ability of allogeneic T cells to be eliminated by the host immune system before the cells complete their intended therapeutic purpose. Addressing these potential challenges requires overcoming the immune response in two directions. The body’s T cells recognize newcomer cells as foreign if antigens presented to the T-cell receptor, or TCR, have not previously been seen during the T cell maturation process. Allogeneic donor cells, having gone through this maturation process in another individual, can potentially – and damagingly – recognize normal host cells as foreign leading to the development of graft versus host disease, or GvHD. Conversely, the host T cells can potentially recognize the donor T cells as foreign because of differences in individual-person-specific HLA antigens from those expressed on host cells.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the Intellia technology can address both of these challenges through gene editing. The Intellia approach to preventing GvHD is straightforward: Intellia uses gene editing to eliminate expression of the TCR on donor cells. Preventing the host cells from recognizing donor cells as foreign requires another level of sophistication. Editing out of the HLA antigens could, in principle, make donor cells unrecognizable to the host’s T cells, but it has been shown that the lack of HLA expression is not the ideal solution since eliminating HLA completely triggers host NK cells to recognize and subsequently kill off the donor cells. Instead of completely removing HLA antigens via gene editing, the Intellia approach rather uses gene editing to create a partial knockout of HLA alleles, such that NK cell targeting is avoided, but also to retain enough expression of certain HLA antigens on the donor cells to allow the cells to be recognized as at least a partial match by the host cells and hence not killed off.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illustration describes how eliminating the expression of the TCR and most of the HLA antigens on donor T cells can provide the opportunity to develop allogeneic CAR T cells:</w:t>
      </w:r>
    </w:p>
    <w:p>
      <w:pPr>
        <w:pStyle w:val="TextBody"/>
        <w:bidi w:val="0"/>
        <w:jc w:val="left"/>
        <w:rPr/>
      </w:pPr>
      <w:r>
        <w:rPr/>
        <w:t> </w:t>
      </w:r>
    </w:p>
    <w:p>
      <w:pPr>
        <w:pStyle w:val="TextBody"/>
        <w:bidi w:val="0"/>
        <w:jc w:val="center"/>
        <w:rPr/>
      </w:pPr>
      <w:r>
        <w:rPr/>
        <w:drawing>
          <wp:inline distT="0" distB="0" distL="0" distR="0">
            <wp:extent cx="5943600" cy="3028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028950"/>
                    </a:xfrm>
                    <a:prstGeom prst="rect">
                      <a:avLst/>
                    </a:prstGeom>
                  </pic:spPr>
                </pic:pic>
              </a:graphicData>
            </a:graphic>
          </wp:inline>
        </w:drawing>
      </w: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We believe that this approach has the potential to generate allogeneic CAR T cells that can deliver therapeutic benefits to patients with prevalent autoimmune diseases. In preclinical studies, we have observed that the </w:t>
      </w:r>
      <w:r>
        <w:rPr>
          <w:rFonts w:ascii="Times New Roman" w:hAnsi="Times New Roman"/>
          <w:i/>
          <w:color w:val="231F20"/>
          <w:sz w:val="20"/>
        </w:rPr>
        <w:t xml:space="preserve">in vitro </w:t>
      </w:r>
      <w:r>
        <w:rPr>
          <w:rFonts w:ascii="Times New Roman" w:hAnsi="Times New Roman"/>
          <w:color w:val="231F20"/>
          <w:sz w:val="20"/>
        </w:rPr>
        <w:t>cytotoxicity and cytokine expression levels of CAR T cells containing the gene edits that are to be incorporated into KYV-201 are roughly equivalent to those obtained using similarly constructed CAR T cells without these gene edits, which we believe suggests that the gene editing process does not adversely affect the target-specific activity of these CAR T cells.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following graphs illustrate that CAR T cells containing KYV-201 gene edits had similar </w:t>
      </w:r>
      <w:r>
        <w:rPr>
          <w:rFonts w:ascii="Times New Roman" w:hAnsi="Times New Roman"/>
          <w:i/>
          <w:color w:val="231F20"/>
          <w:sz w:val="20"/>
        </w:rPr>
        <w:t xml:space="preserve">in vitro </w:t>
      </w:r>
      <w:r>
        <w:rPr>
          <w:rFonts w:ascii="Times New Roman" w:hAnsi="Times New Roman"/>
          <w:color w:val="231F20"/>
          <w:sz w:val="20"/>
        </w:rPr>
        <w:t>potency as CAR T cells created without these gene edits:</w:t>
      </w:r>
    </w:p>
    <w:p>
      <w:pPr>
        <w:pStyle w:val="TextBody"/>
        <w:bidi w:val="0"/>
        <w:jc w:val="left"/>
        <w:rPr/>
      </w:pPr>
      <w:r>
        <w:rPr/>
        <w:t> </w:t>
      </w:r>
    </w:p>
    <w:p>
      <w:pPr>
        <w:pStyle w:val="TextBody"/>
        <w:bidi w:val="0"/>
        <w:jc w:val="center"/>
        <w:rPr/>
      </w:pPr>
      <w:r>
        <w:rPr/>
        <w:drawing>
          <wp:inline distT="0" distB="0" distL="0" distR="0">
            <wp:extent cx="5943600" cy="30099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00990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Research-Stage Programs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that treatment of the wide spectrum of autoimmune diseases will over the long run require more than the ability to target B cells with CD19 CAR T-cell therapies. Our research-stage programs are focused on developing product candidates to treat other autoimmune diseases such as inflammatory bowel disease, or IBD, which includes Crohn’s disease and ulcerative colitis. These programs include a suite of capabilities related to T-regs developed through our completed research collaboration with Gilead Sciences, Inc., or Gilead, and novel humanized CAR constructs developed by us for use in autoimmunity. T-regs are a subset of CD4+ T cells that maintain tolerance in the periphery through multiple mechanisms involving both soluble mediators and direct cell-cell interactions. Clinical use of polyclonal, non-engineered T-regs has not yielded optimal therapeutic effects to date in autoimmune disease settings. However, we believe the use of antigen-specific T-regs, possibly through use of a CAR, holds promise by enhancing homing to antigen-specific effector T cells or sites of inflammation. Published reports in multiple pre-clinical animal models of autoimmunity have demonstrated that antigen-specific T-regs are significantly more effective than polyclonal T-regs. We are in the process of preparing a publication that addresses the therapeutic use of T-regs using a CAR and our differentiated approach in this modality.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Collaboration and License Agreements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Patent License Agreements with the National Institutes of Health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Unless terminated sooner, the NIH Agreements remain in effect until the last licensed patent rights granted pursuant to the respective agreement expire. We have a unilateral right to terminate the agreements or any licenses in any country or territory upon 60 days’ notice to the NIH. The NIH may terminate the agreements for our uncured material breach, insolvency or bankruptcy, subject to certain notice and cure periods. The NIH also has the right to terminate or modify the NIH Agreements as necessary to meet requirements for public use specified by federal regulations issued after the date of the applicable license, subject to certain notice, cure and appeal periods.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NIH Agreements, we have agreed to indemnify the NIH from and against all liability, demands, damages, expenses and losses, including but not limited to death, personal injury, illness or property damage in connection with or arising out of the use by us or the design, manufacture, distribution or use of any of the licensed products or licensed processes or materials under the NIH Agreements.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Intellia License and Collaboration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December 2021, we entered into a License and Collaboration Agreement, or the Intellia Agreement, with Intellia Therapeutics, Inc., a clinical-stage biotechnology company focused on developing novel therapeutics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leveraging CRISPR-based technologies,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 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 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Intellia Agreement, we and Intellia have agreed, subject to certain exceptions, to indemnify each other against any third-party liabilities arising out of (i) any breach of our respective representations, warranties and obligations thereunder, (ii) our respective gross negligence or willful misconduct, or (iii) the research, development or manufacture of the CRISPR Product. We have also agreed, subject to certain exceptions, to indemnify Intellia against any third-party liabilities arising out of the commercialization of the CRISPR Product by us.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Manufacturing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Manufacturing of both autologous and allogeneic cell therapies requires multiple components and is complex, and there are many similarities in the processes for both kinds of therapies. We do not own or operate, and currently have no plans to establish, any manufacturing facilities. We currently contract with third-party contract manufacturing organizations, or CMOs, for the manufacture of any product candidates that we may develop for preclinical and clinical study, and for and critical materials required to be incorporated into the product.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our Master Services Agreement with WuXi ATU Advanced Therapies Inc., dated March 2022, or the WuXi Agreement, WuXi provides us with certain customized cell manufacturing, release and testing services for our KYV-101 product candidate. Pursuant to our Licence and Supply Agreement with Oxford Biomedica (UK) Limited, or Oxford, dated September 2023, or the Oxford Agreement, Oxford is undertaking lentiviral vector process development services with the intention of providing lentiviral vector for clinical and commercial use in our product candidates. We believe we currently have sufficient clinical-grade vector in inventory to move forward with our anticipated clinical trials.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are also developing Ingenui-T, a manufacturing process designed to improve patient experience and manufacturing capabilities through partnerships with world-class organizations in cell therapy manufacturing. Under our Development and Manufacturing Services Agreement with ElevateBio Base Camp, Inc., or ElevateBio, dated July 2023, or the ElevateBio Agreement, ElevateBio is undertaking process development services for the development of a low-cost, fully closed manufacturing process for our CAR T-cell products.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expect to rely on our CMOs for the manufacturing of our product candidates to expedite readiness for future clinical trials, and most of these CMOs have capabilities for commercial manufacturing. All of our manufacturing operations performed by our CMOs are subject to the requirements of current Good Manufacturing Practices, or cGMPs, and, if applicable, the FDA’s current good tissue practice, or cGTP, requirements for the use of human cellular and tissue products, as described in regulations from the FDA, the Code of Federal Regulations, and equivalent regulations in all regions where our clinical candidates are studied.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clinical trial development progresses forward, we will continue to explore both internal capabilities as well as deepening and expanding external relationships to ensure we meet our manufacturing requirements.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Sales and Marketing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not yet defined our sales, marketing or product distribution strategy for our product candidates because they are still in development. Our commercial strategy may include the use of strategic partners, distributors, a contract sales force or the establishment of our own commercial sales force. We plan to further evaluate these alternatives as we approach approval for our product candidates,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Competition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biopharmaceutical industry is characterized by rapid advancing technologies, intense competition and a strong emphasis on proprietary and novel products and product candidates. Our product candidates, if approved, may address multiple markets. Ultimately, the diseases our product candidates target and for which we may receive marketing authorization will determine our competition. There are competing programs under development by other companies for our targeted indication scope, which is B-cell-driven autoimmune diseases. Many emerging and established life sciences companies have been focused on similar therapeutics, including CAR T-cell candidates for B-cell-driven autoimmune disease.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the companies with competing programs will have access to greater financial, technical, manufacturing, marketing, sales and supply resources, will have more expertise and experience than us and may be more advanced in those programs. Moreover, we may also compete with universities and other research institutions that may be active in research in our target indications and could be in direct competition with us. Smaller or early-stage companies may also prove to be significant competitors, particularly through collaborative arrangements with large and established companies.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our current and future competition can be grouped into the following broad categories: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Companies working to develop biologics and other modalities, including large pharmaceutical and biotech companies;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Organizations providing stem cell transplant therapies, including hospitals and clinics.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Companies developing biologics and other modalities include Roche Holding AG (currently markets Rituxan (rituximab), which is used for a broad number of autoimmune diseases and Ocrevus (ocrelizumab), both of which target CD20 on B cells), and others who have biologics aimed at other targets relevant to autoimmune diseases, including, for example, AbbVie, Johnson &amp; Johnson, Bristol Myers Squibb and Novartis. In terms of organizations providing stem cell transplant therapies, the procedure for stem cell transplants is non-proprietary and is performed by medical hematologists and oncologists in hospitals and clinics throughout the world.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we successfully obtain approval for any of our product candidates, we believe that the key competitive factors that will affect the success of these candidates will be efficacy, safety, tolerability, convenience, price and the availability of reimbursement from government and other third-party payors relative to such competing products. Our commercial opportunity could be reduced or eliminated if our competitors have products that are superior in one or more of these categories.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Intellectual property, including patents, trade secrets, trademarks and copyrights, is important to our business. Our commercial success depends in part on our ability to obtain and maintain proprietary intellectual property protection for our product candidates,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applications for U.S. and foreign patents relating to our product candidates, technology, inventions and improvements that are important to the development and implementation of our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patent portfolio is built with a goal of establishing broad protection that generally includes, for the product candidates, claims directed to compositions of matter, pharmaceutical compositions or formulations, methods of manufacturing and methods of treatment. We are seeking and maintaining patent protection in the United States and key foreign jurisdictions where we intend to market our product candidates, if they are approved. Our patent portfolio includes a combination of pending patent applications solely owned by us and patents and pending patent applications licensed from the National Institutes of Health, or the NIH. As of March 1, 2024, our patent portfolio comprises nine distinct patent families protecting our technology relating to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in-license a patent family from the NIH relating to the CD19 CAR of our KYV-101 and KYV-201 product candidates. This patent family includes granted U.S. patents that include composition of matter claims. This patent family also includes patents granted in Australia, China, the European Patent Organization (validated in France, Germany, Ireland, Italy, Spain, and the United Kingdom), Hong Kong, Israel, India, Japan, Mexico, Saudi Arabia, and Singapore, and pending patent applications in Australia, Canada, the European Patent Organization, Hong Kong, Israel, India, Japan, South Korea, Mexico, New Zealand, and the United States. The granted patents and the pending patent applications in this patent family, if issued, have a nominal expiration date of 2035, without accounting for any available patent term adjustments or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With respect to the KYV-101 product candidate, we own two patent families directed to methods of treating autoimmune diseases, such as lupus nephritis, using T cells expressing a CD19 CAR. The first patent family includes a pending international PCT patent application, a pending U.S. utility patent application, and a pending patent application in Taiwan. The second patent family includes a pending international PCT patent application. Patent applications in these patent families, or patent applications claiming priority to them, if issued, would have nominal expiration dates of 2043, without accounting for any available patent term adjustments or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also own three patent families directed to methods of treating myasthenia gravis, systemic sclerosis, and multiple sclerosis, respectively, using T cells expressing a CD19 CAR. These patent families include pending U.S. provisional patent applications. Patent applications claiming priority to the provisional patent applications in these patent families, if issued, would have nominal expiration dates of 2044, without accounting for any available patent term adjustments or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With respect to the KYV-201 product candidate, we own a patent family directed to allogeneic CD19 CAR T cells and methods of producing the allogeneic T cells. This patent family includes two pending U.S. provisional patent applications. Patent applications claiming priority to the provisional patent application, if issued, would have a nominal expiration date of 2044, without accounting for any available patent term adjustments or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With respect to manufacture of CAR T cells, we own two patent families directed to methods of producing CAR T cells using specific manufacturing processes. Both patent families include pending U.S. provisional patent applications. Patent applications claiming priority to the provisional patent applications, if issued, would have a nominal expiration date of 2044, without accounting for any available patent term adjustments or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granted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We may also rely on trade secrets relating to our discovery programs and product candidates, and seek to protect and maintain the confidentiality of proprietary information to protect aspects of our business that are not 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pStyle w:val="TextBody"/>
        <w:bidi w:val="0"/>
        <w:spacing w:before="240" w:after="283"/>
        <w:jc w:val="left"/>
        <w:rPr>
          <w:rFonts w:ascii="Times New Roman" w:hAnsi="Times New Roman"/>
          <w:sz w:val="20"/>
        </w:rPr>
      </w:pPr>
      <w:r>
        <w:rPr>
          <w:rFonts w:ascii="Times New Roman" w:hAnsi="Times New Roman"/>
          <w:color w:val="231F20"/>
          <w:sz w:val="20"/>
        </w:rPr>
        <w:t>Further, we have and will continue to pursue trademark protection for our company name and brand, as well as slogans and taglines and logos. As of March 1, 2024, we owned two registered trademarks in the United States and 15 registered trademarks in foreign jurisdictions comprising or incorporating the term “KYVERNA.” As of March 1, 2024, we owned two registered trademarks in the United States and two registered trademarks in foreign jurisdictions comprising the Kyverna Compass Logo (</w:t>
      </w:r>
      <w:r>
        <w:rPr>
          <w:rFonts w:ascii="Times New Roman" w:hAnsi="Times New Roman"/>
          <w:sz w:val="20"/>
        </w:rPr>
        <w:drawing>
          <wp:inline distT="0" distB="0" distL="0" distR="0">
            <wp:extent cx="104775"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rFonts w:ascii="Times New Roman" w:hAnsi="Times New Roman"/>
          <w:color w:val="231F20"/>
          <w:sz w:val="20"/>
        </w:rPr>
        <w:t>).</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Government Regulation</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U.S.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a biopharmaceutical company that operates in the United States, we are subject to extensive regulation. Our cell products will be regulated as biologics. With this classification, commercial production of our products will need to occur in registered facilities in compliance with cGMP for biologics. The FDA categorizes human cell-or tissue-based products as either minimally manipulated or more than minimally manipulated, and has determined that more than minimally manipulated products require clinical trials to demonstrate product safety and efficacy and the submission of a BLA for marketing authorization. Our products are considered more than minimally manipulated and will require evaluation in clinical trials and the submission and approval of a BLA before we can market them.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U.S. Biological Product Development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United States, the FDA regulates biologics under the Federal Food, Drug, and Cosmetic Act, or the FDCA, and the Public Health Service Act, or the PHSA, and their implementing regulations. Biologics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 Any agency or judicial enforcement action could have a material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drug product candidates must be approved by the FDA through the Biologics License Application, or BLA, process before they may be legally marketed in the United States. The process required by the FDA before a biologic may be marketed in the United States generally involves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completion of extensive nonclinical, sometimes referred to as preclinical, laboratory tests, animal studies and formulation studies in accordance with applicable regulations, including the FDA’s Good Laboratory Practice, or GLP, regulations and standards;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to the FDA of an IND which must become effective before human clinical trials may begin;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approval by an independent institutional review board, or IRB, representing each clinical site before each clinical trial may be initiated;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performance of adequate and well-controlled human clinical trials in accordance with applicable IND regulations, GCPs, and other clinical trial-related regulations to establish the safety and efficacy of the proposed drug product candidate for its proposed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to the FDA of a BLA, which includes not only the results of the clinical trials, but also, detailed information on the chemistry, manufacture and quality controls for the product candidate and proposed labeling;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satisfactory completion of an FDA pre-license or pre-approval inspection of the manufacturing facility or facilities where the product is produced to assess compliance with the FDA’s cGMP requirements to assure that the facilities, methods and controls are adequate to preserve the product’s identity, strength, quality, purity and potency, and, if applicable, the FDA’s cGTP requirements for the use of human cell and tissue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FDA audit of the preclinical trial sites and/or clinical trial sites that generated the data in support of the BLA;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review and approval of the BLA prior to any commercial marketing or sale of the product in the United States.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data required to support a BLA is generated in two distinct development stages: preclinical and clinical.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 Accordingly, we cannot be sure that submission of an IND will result in the FDA allowing clinical trials to begin, or that, once begun, issues will not arise that could cause the trial to be suspended or terminated.</w:t>
      </w:r>
    </w:p>
    <w:p>
      <w:pPr>
        <w:pStyle w:val="TextBody"/>
        <w:bidi w:val="0"/>
        <w:spacing w:before="240" w:after="283"/>
        <w:jc w:val="left"/>
        <w:rPr>
          <w:rFonts w:ascii="Times New Roman" w:hAnsi="Times New Roman"/>
          <w:sz w:val="20"/>
        </w:rPr>
      </w:pPr>
      <w:r>
        <w:rPr>
          <w:rFonts w:ascii="Times New Roman" w:hAnsi="Times New Roman"/>
          <w:color w:val="231F20"/>
          <w:sz w:val="20"/>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the NIH Guidelines. Under the NIH Guidelines, recombinant and synthetic nucleic acids are defined as: (i) molecules that are constructed by joining nucleic acid molecules and that can replicate in a living cell (</w:t>
      </w:r>
      <w:r>
        <w:rPr>
          <w:rFonts w:ascii="Times New Roman" w:hAnsi="Times New Roman"/>
          <w:i/>
          <w:color w:val="231F20"/>
          <w:sz w:val="20"/>
        </w:rPr>
        <w:t>i.e.</w:t>
      </w:r>
      <w:r>
        <w:rPr>
          <w:rFonts w:ascii="Times New Roman" w:hAnsi="Times New Roman"/>
          <w:color w:val="231F20"/>
          <w:sz w:val="20"/>
        </w:rPr>
        <w:t>, recombinant nucleic acids); (ii) nucleic acid molecules that are chemically or by other means synthesized or amplified, including those that are chemically or otherwise modified but can base pair with naturally occurring nucleic acid molecules (</w:t>
      </w:r>
      <w:r>
        <w:rPr>
          <w:rFonts w:ascii="Times New Roman" w:hAnsi="Times New Roman"/>
          <w:i/>
          <w:color w:val="231F20"/>
          <w:sz w:val="20"/>
        </w:rPr>
        <w:t>i.e.</w:t>
      </w:r>
      <w:r>
        <w:rPr>
          <w:rFonts w:ascii="Times New Roman" w:hAnsi="Times New Roman"/>
          <w:color w:val="231F20"/>
          <w:sz w:val="20"/>
        </w:rPr>
        <w:t xml:space="preserv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clinical stage of development involves the administration of the drug product candidate to healthy volunteers and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pStyle w:val="TextBody"/>
        <w:bidi w:val="0"/>
        <w:spacing w:before="240" w:after="283"/>
        <w:jc w:val="left"/>
        <w:rPr>
          <w:rFonts w:ascii="Times New Roman" w:hAnsi="Times New Roman"/>
          <w:sz w:val="20"/>
        </w:rPr>
      </w:pPr>
      <w:r>
        <w:rPr>
          <w:rFonts w:ascii="Times New Roman" w:hAnsi="Times New Roman"/>
          <w:color w:val="231F20"/>
          <w:sz w:val="20"/>
        </w:rPr>
        <w:t>There are also requirements governing the reporting of ongoing clinical trials and completed clinical trial results to public registries. Sponsors of certain clinical trials of FDA-regulated products, including biologics, are required to register and disclose certain clinical trial information, which is publicly available at</w:t>
      </w:r>
      <w:r>
        <w:rPr>
          <w:rFonts w:ascii="Times New Roman" w:hAnsi="Times New Roman"/>
          <w:sz w:val="20"/>
        </w:rPr>
        <w:t xml:space="preserve"> www.clinicaltrials.gov.</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Clinical trials are generally conducted in three sequential phases, known as Phase 1, Phase 2 and Phase 3, and may overlap. Phase 1 clinical trials generally involve a small number of healthy volunteers who are initially exposed to a single dose and then multiple doses of the drug product candidate. The primary purpose of these clinical trials is to assess the metabolism, pharmacologic action tolerability, adverse effects, safety of the drug product candidate and, if possible, to gain early evidence on effectiveness.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and are designed to provide the data necessary to demonstrate the efficacy of the product for its intended use and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 BLA. In certain instances, FDA may condition approval of a BLA on the sponsor’s agreement to conduct additional clinical trials to further assess the biologic’s safety and effectiveness after BLA approval. Such post-approval trials are sometimes referred to as Phase 4 clinical trials.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or other consequences.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Progress reports detailing the results of the clinical trials, among other information, must be submitted at least annually to the FDA; written IND safety reports must be submitted to the FDA and the investigators for serious and unexpected suspected adverse events, findings from other studies suggesting a significant risk to humans exposed to the biologic, findings from animal or </w:t>
      </w:r>
      <w:r>
        <w:rPr>
          <w:rFonts w:ascii="Times New Roman" w:hAnsi="Times New Roman"/>
          <w:i/>
          <w:color w:val="231F20"/>
          <w:sz w:val="20"/>
        </w:rPr>
        <w:t xml:space="preserve">in vitro </w:t>
      </w:r>
      <w:r>
        <w:rPr>
          <w:rFonts w:ascii="Times New Roman" w:hAnsi="Times New Roman"/>
          <w:color w:val="231F20"/>
          <w:sz w:val="20"/>
        </w:rPr>
        <w:t xml:space="preserve">testing that suggest a significant risk for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intervals based on access to certain data from the trial and may halt the clinical trial if it determines that there is an unacceptable safety risk for subjects or other grounds, such as interim data suggesting a lack of efficacy.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product candidate as well as finalize a process for manufacturing the product in commercial quantities in accordance with cGMP requirements. The manufacturing process must be capable of consistently producing quality batches of the drug product candidate and, among other things, must develop methods for testing the identity, strength, quality, potency and purity of the final product. Additionally, appropriate packaging must be selected and tested, and stability studies must be conducted to demonstrate that the drug product candidate does not undergo unacceptable deterioration over its shelf life.</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BLA and FDA Review Process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Following trial completion, trial data are analyzed to assess safety and efficacy. The results of preclinical studies and clinical trials are then submitted to the FDA as part of a BLA, along with proposed labeling for the product and information about the manufacturing process and facilities that will be used to ensure product quality, results of analytical testing conducted on the chemistry of the drug product candidate and other relevant information. The BLA is a request for approval to market the biologic for one or more specified indications and must contain proof of safety, purity, potency and efficacy, which is demonstrated by extensive non-clinical and clinical testing. The application may include both negative or ambiguous results of preclinical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Prescription Drug User Fee Act, or PDUFA, as amended, each BLA must be accompanied by a significant user fee, which is adjusted on an annual basis. PDUFA also imposes an annual prescription drug product program fee. Fee waivers or reductions are available in certain circumstances, including a waiver of the application fee for the first application filed by a small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Once a BLA has been accepted for filing, which occurs, if at all, sixty days after the BLA’s submission, the FDA’s stated goal is to review BLAs within 10 months of the filing date for standard review or six months of the filing date for priority review, if the application is for a product intended for a serious or life-threatening condition and the product, if approved, would provide a significant improvement in safety or effectiveness. The FDA has substantial discretion in the approval process and may refuse to accept any application or decide that the data are insufficient for approval, and may require additional preclinical, clinical or other studies before it accepts the filing. Additionally, the review process is often significantly extended by FDA requests for additional information or clarification.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After the BLA submission is accepted for filing, the FDA reviews the BLA to determine, among other things, whether the proposed drug product candidate is safe and effective for its intended use, and whether the drug product candidate is being manufactured in accordance with cGMP to assure and preserve the drug product candidate’s identity, strength, quality, purity and potency. The FDA may refer applications for novel drug product candidates or drug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conduct its own analysis of the clinical trial data, which could result in extensive discussions between the FDA and us during the review process. The review and evaluation of a BLA by the FDA is extensive and time consuming and may take longer than originally planned to complete, and we may not receive a timely approval,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Before approving a BLA, the FDA will conduct a pre-license or pre-approval inspection of the manufacturing facilities for the new product to determine whether the facilities comply with cGMPs and, if applicable, cGTP requirements. The FDA will not approve the product unless it determines that the manufacturing processes and facilities are in compliance with cGMP requirements and adequate to assure consistent production of the product within required specifications. In addition, before approving a BLA,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the specific deficiencies in the BLA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BLA, addressing all of the deficiencies identified in the letter, withdraw the application or request a hearing. Even if such data and information is submitted, the FDA may ultimately decide that the BLA does not satisfy the criteria for approval. Data obtained from clinical trials are not always conclusive, and the FDA may interpret data differently than we interpret the same data.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applicable, the FDA also will not approve the product if we are not in compliance with cGTPs, which are requirements found in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There is no assurance that the FDA will ultimately approve a product for marketing in the United States, and we may encounter significant difficulties or costs during the review process. If a product receives marketing approval, the approval may be significantly limited to specific populations, severities of allergies, and dosages or the indications for use may otherwise be limited, which could restrict the commercial value of the product. Furthermore,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the product’s safety and effectiveness and may require testing and surveillance programs to monitor the safety of approved products that have been commercialized, including long-term follow up for certain cellular products. The FDA may also place other conditions on approvals including the requirement for a Risk Evaluation and Mitigation Strategy, or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based on the results of post-market studies or surveillance programs. Additionally, post-approval, many types of changes to the approved product, such as adding new indications, changing manufacturing processes and adding labeling claims, are subject to further testing requirements and FDA review and approval. Such post-approval requirements can be costly and time-consuming and can affect the potential market and profitability of the product.</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Orphan Designation and Exclusivity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reasonable expectation that the cost of developing and making the product available in the United States for this type of disease or condition will be recovered from sales of the product.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w:t>
      </w:r>
      <w:r>
        <w:rPr>
          <w:rFonts w:ascii="Times New Roman" w:hAnsi="Times New Roman"/>
          <w:i/>
          <w:color w:val="231F20"/>
          <w:sz w:val="20"/>
        </w:rPr>
        <w:t>Catalyst Pharms., Inc. v. Becerra</w:t>
      </w:r>
      <w:r>
        <w:rPr>
          <w:rFonts w:ascii="Times New Roman" w:hAnsi="Times New Roman"/>
          <w:color w:val="231F2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In January 2023, the FDA published a notice in the Federal Register to clarify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Expedited Development and Review Programs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nonclinical or clinical data demonstrate the potential to address unmet medical needs for the condition. Fast track designation applies to the combination of the product and the specific indication for which it is being studied.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sponsor of a new drug or biologic may request the FDA to designate the drug or biologic as a fast track product concurrently with, or at any time after, submission of an IND, and the FDA must determine if the product qualifies for fast track designation within 60 days of receipt of the sponsor’s request. Under the fast track designation,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product submitted to the FDA for marketing, including under a fast track program, may be eligible for other types of FDA programs intended to expedite development and review, such as priority review and accelerated approval. Any product is eligible for priority review, or review within a six-month timeframe from the date a complete BLA is accepted for filing, if it has the potential to provide a significant improvement in safety and effectiveness compared to available therapies. The FDA will attempt to direct additional resources to the evaluation of an application for a new drug or biological product designated for priority review in an effort to facilitate the review.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Additionally, a product may be eligible for accelerated approval. An investigational drug may obtain accelerated approval if it treats a serious or life-threatening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Breakthrough Designation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product can be designated as a breakthrough therapy if it is intended to treat a serious or life-threatening condition and preliminary clinical evidence indicates that it may demonstrate substantial improvement over existing therapies on one or more clinically significant endpoints. A sponsor may request that a drug product candidate be designated as a breakthrough therapy concurrently with, or at any time after, the submission of an IND, and the FDA must determine if the drug product candidate qualifies for breakthrough therapy designation within 60 days of receipt of the sponsor’s request.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Accelerated Approval for Regenerative Medicine Advanced Therapies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FDA’s regenerative medicine advanced therapy, or RMAT, program is intended to facilitate efficient development and expedite review of regenerative medicine advanced therapies, which are intended to treat, modify, reverse or cure a serious or life-threatening disease or condition. A drug sponsor may request that FDA designate a drug as an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An RMAT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Pediatric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Pediatric Research Equity Act,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60 days of an end-of-Phase 2 meeting or as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 Furthermore, with some exceptions, requirements under the Pediatric Research Equity Act generally do not apply to a biologic for an indication for which orphan designation has been granted.</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Post-Marketing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Following approval of a new product, a manufacturer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distribution, and tracking and tracing requirements and complying with promotion and advertising requirements, which include, among others, standards for direct-to-consumer advertising, restrictions on promoting products for uses or in patient populations that are not described in the product’s approved labeling (known as “off-label use”), limitations on industry-sponsored scientific and educational activities and requirements for promotional activities involving the internet. Although physicians may prescribe legally available drugs and biologics for off-label uses, manufacturers may not market or promote such off-label uses.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Modifications or enhancements to the product or its labeling or manufacturing changes are often subject to the approval of the FDA and other regulators, which may or may not be received or may result in a lengthy review process. Prescription drug promotional materials must be submitted to the FDA in conjunction with their first use.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United States, once a product is approved, its manufacture is subject to comprehensive and continuing regulation by the FDA. The 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Manufacturers are also subject to record requests from FDA that demonstrate cGMP compliance through data and other information.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BLA, including, among other things, recall or withdrawal of the product from the market.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FDA also may require post-approval testing, sometimes referred to as Phase 4 testing, REMS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Other Regulatory Matters</w:t>
      </w:r>
    </w:p>
    <w:p>
      <w:pPr>
        <w:pStyle w:val="TextBody"/>
        <w:bidi w:val="0"/>
        <w:spacing w:before="120" w:after="283"/>
        <w:jc w:val="left"/>
        <w:rPr>
          <w:rFonts w:ascii="Times New Roman" w:hAnsi="Times New Roman"/>
          <w:sz w:val="20"/>
        </w:rPr>
      </w:pPr>
      <w:r>
        <w:rPr>
          <w:rFonts w:ascii="Times New Roman" w:hAnsi="Times New Roman"/>
          <w:color w:val="231F20"/>
          <w:sz w:val="20"/>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w:t>
      </w:r>
      <w:r>
        <w:rPr>
          <w:rFonts w:ascii="Times New Roman" w:hAnsi="Times New Roman"/>
          <w:i/>
          <w:color w:val="231F20"/>
          <w:sz w:val="20"/>
        </w:rPr>
        <w:t>e.g.</w:t>
      </w:r>
      <w:r>
        <w:rPr>
          <w:rFonts w:ascii="Times New Roman" w:hAnsi="Times New Roman"/>
          <w:color w:val="231F20"/>
          <w:sz w:val="20"/>
        </w:rPr>
        <w:t>,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distribution of pharmaceutical products is subject to additional requirements and regulations, including extensive record keeping, licensing, storage and security requirements intended to prevent the unauthorized sale of pharmaceutical products.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U.S. Patent Term Restoration and Marketing Exclusivity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the FDA approval of our drug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drug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An abbreviated approval pathway for biological products shown to be biosimilar to, or interchangeable with, an FDA-licensed reference biological product was created by the Biologics Price Competition and Innovation Act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2009, or BPCI Act, which was part of the Patient Protection and Affordable Care Act, as amended by the Health Care and Education Reconciliation Act of 2010, or collectively the ACA. This amendment to the PHSA attempts to minimize duplicative animal or human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is generally shown through a combination of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However, complexities associated with the larger, and often more complex, structure of biological products as compared to small molecule drugs, as well as the processes by which such products are manufactured, pose significant hurdles to implementation that are still being refined by the FDA.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reference biological product is granted twelve years of exclusivity from the time of first licensure of the product, and the FDA will not accept an application for a biosimilar or interchangeable product based on the reference biological product until four years after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Pediatric exclusivity is another type of regulatory market exclusivity in the United States. Pediatric exclusivity, if granted, adds six months to existing exclusivity periods and patent terms. This six-month exclusivity, which attaches to the twelve-year exclusivity period for reference biologics, may be granted based on the voluntary completion of a pediatric trial in accordance with an FDA-issued “Written Request” for such a trial.</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Pricing and Reimbursement</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products will depend, in part, on the extent to which our products, if approved, will be covered and reimbursed by third-party payors, such as government health programs, commercial insurance and managed healthcare organizations. These third-party payors are increasingly reducing reimbursements for medical products and services. The process for determining whether a third-party payor will provide coverage for a drug product, including a biologic, typically is separate from the process for setting the price of a drug product or for establishing the reimbursement rate that a payor will pay for the drug product once coverage is approved. Third-party payors may limit coverage to specific drug products on an approved list, also known as a formulary, which might not include all of the approved drugs for a particular indication.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order to secure coverage and reimbursement for any drug product candidate that might be approved for sale, we may need to conduct expensive pharmacoeconomic studies in order to demonstrate the medical necessity and cost-effectiveness of the drug product candidate, in addition to the costs required to obtain FDA or other comparable regulatory approvals. Whether or not we conduct such studies, our drug product candidates may not be considered medically necessary or cost-effective. A third-party payor’s decision to provide coverage for a drug product does not imply that an adequate reimbursement rate will be approved. Third party reimbursement may not be sufficient to enable us to maintain price levels high enough to realize an appropriate return on our investment in product development. In the United States, the principal decisions about reimbursement for new drug products are typically made by CMS, an agency within HHS. CMS decides whether and to what extent a new drug product will be 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 Additionally, one third-party payor’s decision to cover a particular product or service does not ensure that other payors will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provide coverage for the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containment of healthcare costs has become a priority of federal and state governments, and the prices of drugs, including biologics,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 Adoption of price controls and cost-containment measures, and adoption of more restrictive policies in jurisdictions with existing controls and measures, could further limit our net revenue and results. Decreases in third-party reimbursement for our drug product candidate or a decision by a third-party payor to not cover our drug product candidate could reduce physician usage of the drug product candidate and have a material adverse effect on our sales, results of operations and financial condition.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European Union do not follow price structures of the United States and generally prices tend to be significantly lower.</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Other Healthcare Laws and Compliance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physicians and third-party payors will play a primary role in the recommendation and prescription of any products for which we obtain marketing approval. Our business operations in the United States and our current and future arrangements with clinical investigators, healthcare providers, consultants, third-party payors and patients may expose us to broadly applicable federal and state fraud and abuse and other healthcare laws and regulations that may constrain the business or financial arrangements and relationships through which we market, sell and distribute any drugs for which we obtain marketing approval. In the United States, these laws include: the federal Anti-Kickback Statute, the False Claims Act, and the Health Insurance Portability and Accountability Act of 1996, or HIPAA.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Although we would not submit claims directly to payors, drug manufacturers can be held liable under the federal civil False Claims Act, which imposes civil penalties, including through civil whistleblower or qui tam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actions,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Our future marketing and activities relating to the reporting of wholesaler or estimated retail prices for our products, if approved, the reporting of prices used to calculate Medicaid rebate information and other information affecting federal, state and third-party reimbursement for our products and the sale and marketing of our product candidates, are subject to scrutiny under this law.</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Additionally, we may be subject to data privacy and security regulations by both the federal government and states in which we conduct our business. For example, HIPAA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HIPAA, as amended by the Health Information Technology for Economic and Clinical Health Act of 2009, or HITECH, and its implementing regulations,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which include certain health care providers, health plans and healthcare clearinghouses,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and other personal data in certain circumstances, some of which are more stringent or otherwise different than HIPAA and many of which differ from each other in significant ways and may not have the same effect, thus complicating compliance efforts. Failure to comply with these laws, where applicable, can result in the imposition of significant civil and criminal penalties.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Further, the federal Physician Payments Sunshine Act, or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In addition, many states also govern the reporting of payments or other transfers of value, many of which differ from each other in significant ways, are often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not pre-empted, and may have a more prohibitive effect than the Sunshine Act, thus further complicating compliance efforts.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may become subject to federal government price reporting laws, which would require us to calculate and report complex pricing metrics in an accurate and timely manner to government programs, as well as federal consumer protection and unfair competition laws, which broadly regulate marketplace activities and activities that potentially harm consumers.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order to distribute products commercially, we must comply with federal and state laws relating to drug supply chain traceability and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Federal laws require the implementation of systems to provide, capture, and maintain information about transactions involving drug products distributed within the United States and the trading partners who engaged in such transactions.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time-and resource-consuming, and can divert a company’s attention from the business.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Current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example, in 2010, the ACA was enacted in the United States. The ACA includes measures that have significantly changed, and are expected to continue to significantly change, the way healthcare is financed by both governmental and private insurers. Among the provisions of the ACA of greatest importance to the pharmaceutical industry are that the ACA:</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made several changes to the Medicaid Drug Rebate Program, including increasing pharmaceutical manufacturers’ rebate liability by raising the minimum basic Medicaid rebate on average manufacturer price, or AMP, on most branded prescription drugs and adding a new rebate calculation for “line extensions” (</w:t>
      </w:r>
      <w:r>
        <w:rPr>
          <w:rFonts w:ascii="Times New Roman" w:hAnsi="Times New Roman"/>
          <w:i/>
          <w:color w:val="231F20"/>
          <w:sz w:val="20"/>
        </w:rPr>
        <w:t>i.e.</w:t>
      </w:r>
      <w:r>
        <w:rPr>
          <w:rFonts w:ascii="Times New Roman" w:hAnsi="Times New Roman"/>
          <w:color w:val="231F20"/>
          <w:sz w:val="20"/>
        </w:rPr>
        <w:t>, new formulations, such as extended release formulations) of solid oral dosage forms of branded products, as well as potentially impacting their rebate liability by modifying the statutory definition of AMP;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imposed a requirement on manufacturers of branded drugs to provide a 70% point-of-sale discount as a condition for a manufacturer’s outpatient drugs being covered under Medicare Part 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a manufacturer’s Medicaid rebate liability to covered drugs dispensed to individuals who are enrolled in Medicaid managed care organizations;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expanded the entities eligible for discounts under the 340B Drug Discount Program;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imposed an annual, nondeductible fee on any entity that manufactures or imports certain branded prescription drugs, apportioned among these entities according to their market share in certain government healthcare programs;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established a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legislative changes have been proposed and adopted in the United States since the ACA was enacted: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Budget Control Act of 2011 and subsequent legislation, among other things, created measures for spending reductions by Congress that include aggregate reductions of Medicare payments to providers of 2% per fiscal year, which remain in effect through the first half of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American Taxpayer Relief Act of 2012, which, among other things, further reduced Medicare payments to several providers and increased the statute of limitations period for the government to recover overpayments to providers from three to five years. Any reduction in reimbursement from Medicare or other government programs may result in a similar reduction in payments from private payors, which may adversely affect our future profitability.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May 30, 2018, the Right to Try Act was signed into law. The law, among other things, provides a federal framework for certain patients to request access to certain IND products that have completed a Phase 1 clinical trial and that are undergoing investigation for FDA approval. There is no obligation for a pharmaceutical manufacturer to make its drug products available to eligible patients as a result of the Right to Try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May 23, 2019, CMS published a final rule to allow Medicare Advantage Plans the option of using step therapy for Part B drugs beginning January 1, 2020.</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assistance programs and reform government program reimbursement methodologies for drugs. President Biden has issued multiple executive orders that have sought to reduce prescription drug costs.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the Pharmaceutical Research and Manufacturers of America have initiated lawsuits against the federal government asserting that the price negotiation provisions of the IRA are unconstitutional.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The Foreign Corrupt Practices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Additional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Europe / Rest of World Government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regulations in the United States, we may be subject to a variety of regulations in other jurisdictions that we may in the future select,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obtain regulatory approval of an investigational drug or biological product under EU regulatory systems, we must submit an MAA. The application used to file the BLA in the United States is similar to that required in the EU, with the exception of, among other things, country-specific document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European Union General Data Protection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EU regulations related to the approval and commercialization of our products, we may be subject to the EU’s General Data Protection Regulation, or GDPR. The GDPR imposes stringent requirements for controllers and processors of personal data of persons in the EU,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European Union to the United States and other third countries. In addition, the GDPR provides that EU member states may make their own further laws and regulations limiting the processing of personal data, including genetic, biometric or health data.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GDPR applies extraterritorially, and we may be subject to the GDPR because of our data processing activities that involve the personal data of individuals located in the European Union, such as in connection with our EU clinical trials. Failure to comply with the requirements of the GDPR and the applicable national data protection laws of the EU member states may result in fines of up to €20,000,000 or up to 4% of the total worldwide annual turnover of the preceding financial year, whichever is higher, and other administrative penalties. GDPR regulations may impose additional responsibility and liability in relation to the personal data that we process, and we may be required to put in place additional mechanisms to ensure compliance with the new data protection rules.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Human Capital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March 1, 2024, we had 96 employees, all of whom were full-time. Of those, 76 were engaged in research and development activities. All of our employees are located in the United States. We do not have any employees that are represented by a labor union or covered under a collective bargaining agreement. We consider our relationship with our employees to be good.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future success depends on our ability to attract, develop and retain key personnel, maintain our culture and ensure diversity and inclusion in our board of directors, management and broader workforce. Our human resources objectives include, as applicable, identifying, recruiting, retaining, incentivizing and integrating our existing and prospective employees. The principal purposes of our equity incentive plans are to attract, retain and motivate selected employees, consultants and directors through the granting of stock-based compensation awards. As these areas directly impact our ability to compete and innovate, they are key focus areas for our board of directors and senior executives.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Properties and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are located in Emeryville, California, where we house our administrative, manufacturing and R&amp;D activities. We currently lease approximately 68,000 square feet of space as our primary headquarters in Emeryville, California. One of the leases expires in January 2027, with an option for us to extend the term until January 2030. Another lease of approximately 35,000 square feet expires in February 2027 and does not have an option to extend the lease term. We believe that our existing facility is adequate to meet our current needs, and that suitable additional alternative spaces will be available in the future on commercially reasonable terms.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Legal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Corporate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were incorporated in Delaware in June 2018 under the name BAIT Therapeutics, Inc., and changed our name to Kyverna Therapeutics, Inc. in October 2019. Our principal executive offices are located at 5980 Horton St., STE 550, Emeryville, CA 94608, and our telephone number is (510) 925-2492.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Our Annual Reports on Form 10-K, Quarterly Reports on Form 10-Q, Current Reports on Form 8-K and other filings with the Securities and Exchange Commission, or the SEC, and all amendments to these filings, can be obtained free of charge from our website following our</w:t>
      </w:r>
      <w:r>
        <w:rPr>
          <w:rFonts w:ascii="Times New Roman" w:hAnsi="Times New Roman"/>
          <w:color w:val="231F20"/>
          <w:sz w:val="20"/>
        </w:rPr>
        <w:t xml:space="preserve"> </w:t>
      </w:r>
      <w:r>
        <w:rPr>
          <w:rFonts w:ascii="Times New Roman" w:hAnsi="Times New Roman"/>
          <w:color w:val="000000"/>
          <w:sz w:val="20"/>
        </w:rPr>
        <w:t xml:space="preserve">filing of any of these reports with the SEC. </w:t>
      </w:r>
      <w:r>
        <w:rPr>
          <w:rFonts w:ascii="Times New Roman" w:hAnsi="Times New Roman"/>
          <w:color w:val="231F20"/>
          <w:sz w:val="20"/>
        </w:rPr>
        <w:t xml:space="preserve">Our website address is </w:t>
      </w:r>
      <w:r>
        <w:rPr>
          <w:rFonts w:ascii="Times New Roman" w:hAnsi="Times New Roman"/>
          <w:i/>
          <w:color w:val="231F20"/>
          <w:sz w:val="20"/>
        </w:rPr>
        <w:t xml:space="preserve">https://kyvernatx.com/. </w:t>
      </w:r>
      <w:r>
        <w:rPr>
          <w:rFonts w:ascii="Times New Roman" w:hAnsi="Times New Roman"/>
          <w:color w:val="231F20"/>
          <w:sz w:val="20"/>
        </w:rPr>
        <w:t xml:space="preserve">We do not incorporate the information on, or accessible through, our website into this Annual Report on Form 10-K, and you should not consider any information on, or accessible through, our website as part of this Annual Report on Form 10-K. We have included our website address in this Annual Report on Form 10-K solely as an inactive textual reference. </w:t>
      </w:r>
      <w:r>
        <w:rPr>
          <w:rFonts w:ascii="Times New Roman" w:hAnsi="Times New Roman"/>
          <w:color w:val="000000"/>
          <w:sz w:val="20"/>
        </w:rPr>
        <w:t xml:space="preserve">The SEC maintains an internet site that contains reports, proxy and information statements and other information regarding issuers that file electronically with the SEC at www.sec.gov. </w:t>
      </w:r>
    </w:p>
    <w:p>
      <w:pPr>
        <w:pStyle w:val="TextBody"/>
        <w:bidi w:val="0"/>
        <w:spacing w:before="360" w:after="283"/>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carefully consider and read the following risk factors, as well as the financial and other information contained in this Annual Report on Form 10-K, including in Part II, Item 7 titled “Management’s Discussion and Analysis of Financial Condition and Results of Operations” and in our financial statements and related notes included in Part II, Item 8 of this Annual Report on Form 10-K. Any of the following risks could have a material adverse effect on our business, financial condition, results of operations or prospects and cause the value of our stock to decline, which could cause you to lose all or part of your investment. The risks described below are not the only ones facing us. Additional risks and uncertainties of which we are unaware, or that we currently deem immaterial, also may become important factors that affect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purposes of obtaining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clinical trials, our clinical development activities could be delayed or otherwise adversely affected, which could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intellectual property licensed from third parties and termination of any of these licenses could result in the loss of significant rights, which could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obtaining or maintaining necessary rights to develop current and any future product candidates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28, 2023, the FDA issued a statement that it is investigating serious risk of T-cell malignancy following BCMA-directed or CD19-directed autologous chimeric antigen receptor (CAR) T cell immunotherapies, such as KYV-101, and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CD19-directed genetically modified autologous T-cell immunotherapies.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common stock and will be able to control matters subject to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Limited Operating History and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biotechnology company with a limited operating history. We were formed in 2018 and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including KYV-101 and KYV-201. Consequently, we have no meaningful operations upon which to evaluate our business and predictions about our future success, and viability may not be as accurate as they could be if we had a longer operating history or a history of successfully developing and commercializing program candidates. Investment in biotechnology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we have incurred net losses since our inception through December 31, 2023. For the years ended December 31, 2023 and 2022, we reported a net loss of $60.4 million and $28.9 million, respectively. As of December 31, 2023, we had an accumulated deficit of $136.0 million. We expect to continue to incur significant losses for the foreseeable future, and we expect these losses to increase as we continue our research and development of our product candidates, and seek regulatory approvals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further clinical trials for KYV-101 and KYV-201 and our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product candidates and acquire rights from third parties to those product candidates through licenses or other acquisitions, and conduct development activities, including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procure the manufacturing of preclinical, clinical and commercial supply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our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commercialize our current product candidates or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 steps toward our goal of being an integrated biopharma company capable of supporting commercial activities, including establishing sales, marketing and distribution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clinical, scientific, operations and management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 maintain, enforce and defend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third-party interference, infringement and other intellectual property claims,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any competing therapies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in our preclinical studies or clinical trials and regulatory approval for our product candidates, including as a result of macroeconomic conditions, geopolitical conflicts or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the price or of common stock,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(deficit) equity and working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our inception. We expect to continue to spend substantial amounts to continue the preclinical and clinical development of, and seek regulatory approval for, KYV-101, KYV-201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design and outcome of our planned and anticipated preclinical studies and clinical trials are highly uncertain, we cannot reasonably estimate the actual amounts necessary to successfully complete the development and commercialization of any product candidates we develop. If we are required by the U.S. Food and Drug Administration, or the FDA, or any comparable foreign regulatory authority to perform clinical trials or preclinical studies in addition to those that we currently anticipate, our expenses could increase. In addition, if we obtain regulatory approval to market any of our product candidates, we expect to incur significant commercialization expenses related to product sales, marketing, manufacturing and distribution. Other unanticipated costs may also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incur additional costs associated with operating as a public company. Accordingly, we will need to obtain substantial additional funding in order to maintain our continuing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product candidates, if ever, we will be required to obtain further funding through public or private equity offerings, debt financings, collaborations and licensing arrangements or other sources, which may dilute our stockholders or restrict our operating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commercial sale or for which regulatory approval to market has been sought. We have invested a significant portion of our efforts and financial resources in the development of our product candidates, each of which is still in clinical development, and expect that we will continue to invest heavily in these product candidates, as well as in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are successful in clinical trials, we will not be permitted to market or promote any of our product candidates until we receive regulatory approval from the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our current or any future product candidates will be successful in clinical trials or receive regulatory approval. The FDA may also consider its approvals of competing products, which may alter the treatment landscape concurrently with their review of our investigational new drug applications, or INDs, or other submissions,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INDs or other submissions.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for marketing by applicable regulatory authorities, our ability to generate revenue from our product candidates will depend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regulatory approval for the targeted patient populations and claims that are necessary or desirable for successful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product candidates through contract manufacturing organizations, or CMOs, in sufficient quantities and at acceptable quality and manufacturing cost to meet commercial demand at launch and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our products competitively such that third-party and government reimbursement permits broad product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the superiority of our products compared to the standard of care, as well as other therapies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market demand for our product candidates through our own marketing and sales activities, and any other arrangements to promote these product candidates that we may otherwise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commercialize any of our products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pharmacies, and group purchasing organizations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enforce patent and other intellectual property protection and regulatory exclusivity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compliance with applicable laws, regulations, and guidance specific to commercialization including interactions with healthcare professionals, patient advocacy groups, and communication of healthcare economic information to payors and formularies;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market acceptance of our products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 distribution and logistics network capable of product storage within our specifications and regulatory guidelines, and further capable of timely product delivery to commercial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assure that our product will be used as directed and that additional unexpected safety risks will not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incur significant increased costs as a result of operating as a public company, and our management will be required to devote substantial time and resources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Securities Exchange Act of 1934, as amended, or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controls and other finance personnel or consultants in order to develop and implement appropriate internal controls and reporting procedures, which will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our financial statements for the year ended December 31, 2023, material weaknesses were identified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appropriately design and maintain entity-level controls impacting the control environment, risk assessment, control activities, information and communication and monitoring activities to prevent or detect material misstatements to the financial statements. 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 components of internal controls were present and functioning based upon evidence maintained for management review controls and activity level controls across substantially all financial statement areas.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material weaknesses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implement formal risk assessment processes and procedures and design sufficient controls to remediate these weaknesses. We intend to hire additional experienced accounting and financial reporting personnel, formalize design and implementation of internal controls over the financial reporting process, including general controls over information systems.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expect to implement new procedures and controls and take efforts to address each of the identified weaknesses during fiscal years 2024 and 2025, and anticipate that the full remediation of the material weaknesses identified will extend beyond December 31, 2024. These remediation measures will be time consuming and require financial and operational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closing of our initial public offering in February 2024, or the IPO, we became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or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 Oxley Act to furnish a report by management on, among other things, the effectiveness of our internal control over financial reporting for the fiscal year ending December 31, 2024. This assessment will need to include disclosure of any material weaknesses identified by our management in our internal control over financial reporting and will require that we incur substantial additional professional fees and internal costs to expand our accounting and finance functions and that we expend significant management efforts. We may discover additional weaknesses in our system of internal financial and accounting controls and procedures that could result in a material misstatement of our financial statements. Our internal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financial reporting will not prevent or detect all errors and all fraud. A control system, no matter how well designed and operated, can provide only reasonable, not absolute, assurance that the control system’s objectives will be met. We may not be able to implement improvements to our management information and control systems in an efficient or timely manner and may discover deficiencies in existing systems and controls.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product candidates, if approved, do not achieve broad market acceptance, the revenue that we generate from their sales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market acceptance of any of our product candidates will depend on a number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tolerability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side effects and adverse events associated with our product candidates, and how the safety and tolerability profile of our product candidates compares to those of existing therapies, or those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products are approved and the approved claims that we may make for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product’s FDA-approved labeling, including potential limitations or warnings for such products that may be more restrictive than other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and use restrictions imposed by the FDA with respect to such product candidates or to which we agree as part of a mandatory risk evaluation and mitigation strategy, or REMS, or voluntary risk management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difficulty of administration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treatment as compared to the clinical benefit in relation to alternative treatments or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coverage and reimbursement by third parties, such as insurance companies and other healthcare payors, and by government healthcare programs, including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and other potential advantages of, and availability of, alternative treatments already used or that may later be approved for any of our intended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such product candidates,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reluctance of physicians to switch their patients’ current standard of 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reluctance of patients to switch from their existing therapy regardless of the safety and efficacy of newer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such product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our product or favorable publicity about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conduct clinical trials of our current or future product candidates and as our product candidates are used in named patient programs,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the European Medicines Agency, or the EMA,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We may need to obtain higher levels of product liability insurance for later stages of clinical development or marketing any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1, 2024, we had 96 full-time employees. As our development and commercialization plans and strategies develop, and as we transition into operating as a public company, we expect to expand our employee base for managerial, operational, financial and other resources. In addition, we have limited experience in manufacturing, marketing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success depends in part on our continued ability to attract, retain and motivate highly qualified management, clinical and scientific personnel. We are highly dependent upon our Chief Executive Officer, Peter Maag, Ph.D.,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or to disclose unauthorized activities to us, or failure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or NOL, carryforwards and certain other tax attributes to offset taxable income or taxes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2023, we had federal NOL carryforwards of $48.8 million and state NOL carryforwards of $103.2 million. Under the Internal Revenue Code of 1986, as amended, or the Code, our U.S. federal net operating losses will not expire and may be carried forward indefinitely but the deductibility of federal net operating losses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completed a Section 382 study as of December 31, 2023 and determined that an ownership change had occurred as of such date and we expect approximately $2.0 million of federal net operating losses and $1.9 million California net operating losses to expire unused due to Section 382 limitations. Furthermore, there may be additional ownership changes in the future, including in connection with the IPO or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and future changes to tax laws could materially adversely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contract research organizations, or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Following the COVID-19 pandemic and in connection with geopolitical conflicts, global economic and business activities continue to face widespread uncertainties. A severe or prolonged economic downturn, or additional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For example, the failures of Silicon Valley Bank, Signature Bank and First Republic Bank in the first half of 2023 resulted in significant disruption in the financial services industry. If any of the banks which hold our cash deposits were to be placed into receivership, we may be unable to access our cash, cash equivalents and available-for-sale marketable securities, which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directors or officers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In addition, certain of our directors and officers are involved in ongoing securities or other lawsuits in the context of their roles with other public companies, and our directors or officers may in the future become involved in such litigation. Securities litigation (including the cost to defend against, and any potential adverse outcome resulting from any such proceeding) can be expensive, time-consuming, damage our reputation and divert our management’s and board of directors’ attention from other business concerns, which could seriously harm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Research, Development and Commercialization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never successfully completed any large-scale or pivotal clinical trials, and we may be unable to do so for any product candidates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demonstrated our ability to successfully complete any large-scale or pivotal clinical trials, obtain regulatory approvals, manufacture a commercial scale product, or arrange for a third party to do so on our behalf, or conduct sales and marketing activities necessary for successful commercialization. Although our key employees have significant experience in leading clinical development programs, our experience conducting clinical trials with our product candidates is limited. Developing cell therapies, in particular autologous cell therapies, is a complex and resource-intensive process requiring a team of scientists, clinicians, and technical and regulatory experts. We may not be able to file INDs for any of our other product candidates on the timelines we expect, if at all. For example, we cannot be certain that the IND-enabling studies for our product candidates will be completed in a timely manner or be successful or that the manufacturing process will be validated in a timely manner. Even if we submit an IND for a product candidate, the FDA may not clear the IND and allow us to begin clinical trials in a timely manner or at all. The timing of submissions of INDs for our product candidates will be dependent on further preclinical and manufacturing success.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post-marketing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have the product removed from the market after obtaining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supply our investigational product candidate, KYV-101, in investigator-initiated trials and on a named patient basis to patients who have exhausted other treatment options and for whom there is a strong scientific rationale to support the use of an unapproved product candidate. The investigator-initiated trials we supply to are located in the United States, and the independent investigators of such trials file INDs for the treatment of multiple or individual patients with KYV-101. We also currently supply KYV-101 for use in single named patients in Germany, through a European distributor. In Germany, these single-patient efforts are termed “Individueller Heilversuch,” or single-patient treatment healing attempts, and occur outside of a controlled clinical trial setting and are not part of a compassionate use program or a codified German regulatory path. These investigator-initiated trials and the provision of KYV-101 on a named patient basis are not a substitute for, or intended to replace, our clinical trials. The primary goal of these healing attempts is not to assess the effectiveness of a potential therapy, but rather to provide the individual patient with the best possible treatment option, as determined by the patient’s physician. We evaluate whether to grant such access or similar access in other foreign countries to KYV-101 outside of our sponsored clinical trials on a case-by-case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control the design, administration or timing of investigator-initiated trials. In addition, named patient treatments are carried out by independent physicians in a manner that the physician determines to be appropriate, which may be inconsistent from patient to patient and may not be conducted in strict compliance with good clinical practices, or GCPs, which can lead to a treatment effect that may differ from that in our controlled clinical trials. In addition, we rely on each investigator and physician to ensure their own compliance with clinical and regulatory requirements in using our product candidate for investigator-initiated trials and named patient activities, and we could be subject to liability if they are out of compliance. Individual patient results from named patient settings, including, but not limited to, data, experiences, images or videos, are observational, patient-specific and reported by the patients’ respective physicians. Because of our lack of control over the settings in which these patients are given KYV-101, we cannot assure you that any positive results from such named patient activities are attributable to KYV-101, or that administration of KYV-101 to other patients will have similar positive results. Patient data from these trials and named patient activities are not designed to be aggregated or reported as results and may be highly variable.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investigator-initiated trials and named patient activities may not be used to establish safety or efficacy for purposes of obtaining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contrast, such trials and named patient activities could potentially identify significant concerns with respect to our product candidates that could impact our findings or clinical trials, and adversely affect our ability to obtain marketing approval from the FDA or other applicable regulatory authorities. To the extent the results of investigator-initiated trials or named patient activities are inconsistent with, or different from, the results of our sponsored trials or raise concerns regarding our product candidates, the FDA or a foreign regulatory authority may question the well-controlled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the risk for serious adverse events in the patient population of such trials and named patient activities is high. Adverse events, if attributed to our product candidate, could have a negative impact on the safety profile of our product candidates, and in turn cause significant delays or an inability to obtain regulatory approval or successfully commercialize our drug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no guarantee that we will be able to continue to receive or publicize observational data through investigator-initiated trials or named patient activities using our product candidates. Our supply capabilities may limit the number of patients who are able to enroll in these trials or the number of named patients that can be treated, and we may in the future need to restructure or pause such supply in order to enroll sufficient numbers of patients in our sponsored clinical trials, which could prompt adverse publicity or other disruptions. In addition, there is no clear regulatory framework under which we may supply our unapproved investigational product candidate in named patient settings, particularly for multiple named patients, outside of a clinical trial or a compassionate use program that is registered with applicable regulatory authorities. Our single-patient healing attempts are not part of a clinical trial or a compassionate use program that is registered with German regulatory authorities. As a result, if such supply, or our use of data from named patient activities, is found to contravene regulatory requirements, we could potentially be subjected to liability, fines or other consequences, which could be further exacerbated if such patients experience adverse safety events. Furthermore, if we supply our unapproved investigational product candidate to a named patient who would have qualified for enrollment in our KYSA-3 clinical trial in Germany, we may be subject to additional penalties. We also rely on each investigator and physician to ensure their own compliance with clinical and regulatory requirements in using our product candidate for investigator-initiated trials and named patient activities, and could be subject to liability if they are out of compliance.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either in preclinical or clinical development and their risk of failure is high. Some of the product candidates and technologies we are developing are novel and unproven, which makes it difficult to accurately predict the challenges we may face with respect to our product candidates as they proceed through development.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It is also impossible to predict whether our clinical trials will continue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Commencing any future clinical trials is subject to finalizing the trial design and submitting an application to the FDA or a similar foreign regulatory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after we make our submission, the FDA or other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such as the FDA or comparable foreign regulatory agencies,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trial sites and CROs, the terms of which can be subject to extensive negotiation and may vary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or quantity of data relating to our product candidates or other materials necessary to conduct our clinical trials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of other therapies may raise safety, tolerability or efficacy concerns about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put on clinical hold or terminated by us, the IRBs of the institutions in which such trials are being conducted, the FDA, EMA or other regulatory authorities, or if a clinical trial is recommended for suspension or termination by the Data Safety Monitoring Board, or DSMB, for such trial. A suspension or termination may be imposed due to a number of factors, including failure to conduct the clinical trial in accordance with regulatory requirements or our clinical protocols, failure by our CROs to perform in accordance with GCP requirements, or applicable regulatory guidelines in other countries, inspection of the clinical trial operations or trial site by the FDA, EMA or other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clinical trials, our clinical development activities could be delayed or otherwise adversely affected,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administration of our product candidates or trial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outside of our control, such as the effects of global economic conditions and volatility in the credit and financial markets, inflationary pressures, the Russian invasion of Ukraine, the Israel-Hamas war and other geopolitical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in specific indications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our development efforts on certain selected product candidates in certain selected indications.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establish commercial collaborations for our product candidates,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 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cell therapy product, or the CRISPR Product Candidate.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hospitals and clinics,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product candidates, initially under development for treatment of various immunological indications, if approved, would face competition from existing approved immunological treatments, many of which have achieved commercial success. For example, we are currently developing KYV-101 for the treatment of B-cell-driven autoimmune diseases. Many emerging and established life sciences companies have been focused on similar therapeutics, including CAR T-cell candidates for B-cell-driven autoimmune diseases. If approved, KYV-101 would compete with currently approved therapeutics, including Rituxan and Ocrevus, both from Roche Holding AG,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generic immunosuppressive or biosimilar drugs, such as mycophenolate mofetil, glucocorticoids, azathioprine, cyclophosphamide, and IVIG, among others we anticipate will receive approvals in the near term. There are also a number of product candidates in clinical development by third parties that are intended to treat some B-cell-driven autoimmune diseases, such as obinutuzumab (targeting CD20 on B cells), which is also from Genentech/Roche Holding AG.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compete successfully, we need to disrupt these currently marketed drugs, meaning that we will have to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programs may be delayed and our expenses may increase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products, we must demonstrate through lengthy, complex and expensive preclinical studies and clinical trials that our current product candidates, including our lead product candidates, and any future product candidate are both safe, pure and potent, or effective for use in such product candidate’s target indication. Clinical testing is expensive, can take many years to complete and its outcome is inherently uncertain. In addition, some of the product candidates and technologies we are developing are novel and unproven, which makes it impossible to predict whether our clinical trials will continue. The patient population that our product candidates are seeking to target also are often heavily immunosuppressed and may be more likely to experience serious adverse events with potential treatments and have higher morbidity rates generally than other patient populations. Failure can occur at any time during the clinical trial process.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generate desired safety and efficacy data despite having progressed through preclinical studies and initial clinical trials. A number of companies in the biopharmaceutical and biotechnology industries have suffered significant setbacks in advanced clinical trials due to lack of efficacy or unacceptable safety issues, notwithstanding promising results in earlier trials. Most product candidates that commence clinical trials are never approved and there can be no assurance that any of our clinical trials will ultimately be successful or support further clinical development of our current product candidates or any of our future product candidates or ultimately their approval. We do not expect to be able to use the results from any investigator initiated trials or named patient activities conducted with our product candidates in any regulatory submission for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In addition, negative results from investigator initiated trials as well as named patient activities involving our product candidates could cause similar issues. The drug-related side effects could affect patient recruitment or the ability of enrolled patients to complete the trial or result in potential product liability claims. Any of these occurrences may harm our business, results of operations and financial condition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preclinical studies, clinical trials or investigator initiated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results of operations and financial condition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significant adverse events or other side effects not observed in our preclinical studies or previous clinical trials. In addition, if our product candidates are used in combination with other therapies, our product candidates may exacerbate adverse events associated with the therapy.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significant adverse events or other side effects are observed in any of our current or future clinical trials, in any investigator initiated trials conducted with our product candidates, or in our named patient activities, we may have difficulty recruiting patients to the clinical trials, patients may drop out of our trials, or we may be required to abandon the trials or our development efforts of that product candidate altogether. 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Such delayed side effects might be observed during the long-term follow-up FDA has insisted upon for certain gene therapy products. For example, the FDA could require us to adopt a Risk Evaluation and Mitigation Strategy, or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product candidate manufacturing, formulation or analytical methods may result in additional costs or delay,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are developed through preclinical studies to later-stage clinical trials towards approval and future commercialization, it is common that various aspects of the development program, such as manufacturing methods, formulation or analytical methods, are altered throughout the development process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 If we or our CMOs are not able to successfully manufacture our product candidates in 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and quantity, clinical development and timelines for our product candidates and subsequent approval could be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and privacy requirements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produced in the United States and shipping the product candidate to the patient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and export requirements and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health epidemics or pandemics, or natural or man-made disasters, including earthquakes, tsunamis, fires or other medical epidemics, or geo-political actions, including war and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risks associated with our collaboration with Intellia may materially adversely affect our ability to attain or maintain profitable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manufacturing process for any products that we may develop is subject to the FDA or comparable foreign authority approval process, and we currently, and will need to continue to, contract with manufacturers who can meet our and all applicable FDA or comparable foreign authority requirements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for any products that we may develop is subject to the FDA or comparable foreign authority approval process, and any contractors with which we contract for manufacturing must meet all applicable FDA or comparable foreign authority requirements on an ongoing basis. If we or our CMOs are unable to reliably produce products to specifications acceptable to the FDA or comparable foreign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 and criminal prosecutions, delay approval of our product candidates, impair commercialization efforts, increase our cost of goods, and have an adverse effect on our business, financial condition, results of operations and growth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and results of operations. In addition, we could incur higher manufacturing costs if manufacturing processes or standards change, and we could need to replace, modify, design or build and install equipment, all of which would require additional capital expenditures. Specifically, because our product candidates may have a higher cost of goods than conventional therapies, the risk that coverage and reimbursement rates may be inadequate for us to achieve profitability may be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party CMOs to manufacture and supply cell therapy products for our research and development purposes and for our clinical trials. Under our Master Services Agreement with WuXi ATU Advanced Therapies Inc., dated March 2022, or the WuXi Agreement, WuXi provides us certain with certain customized cell manufacturing, release and testing services for our KYV-101 product candidate. Pursuant to our Licence and Supply Agreement with Oxford Biomedica (UK) Limited, or Oxford, dated September 2023, or the Oxford Agreement, we recently engaged Oxford to undertake lentiviral vector process development services, with the intention for Oxford to ultimately manufacture and supply to us lentiviral vectors for research and development purposes and for use in connection with our clinical trials. Although we believe we currently have sufficient clinical-grade vector in inventory to move forward with our anticipated clinical trials, there is no guarantee that sufficient clinical-grade vector will be available in the quantities we require in the future or on terms that are acceptable to us. In July 2023, we entered into a Development and Manufacturing Services Agreement, or the ElevateBio Agreement, with ElevateBio Base Camp, Inc., or ElevateBio, pursuant to which ElevateBio is undertaking process development services for the development of a low-cost, fully closed manufacturing process for our CAR T-cell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exposure to risks to which we would not be subject if we manufactured the product candidate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negotiate manufacturing and quality agreements with third parties under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day-to-day control over the manufacturing process for our product candidates as a result of using third-party manufacturers for all aspects of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over the protection of our trade secrets and know-how from misappropriation or inadvertent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may be costly or damaging to us or result in delays in the development or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or suppliers caused by conditions unrelated to our business or operations, including the bankruptcy of the manufacturer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synchronize operations and standards to ensure that all aspects of manufacturing are consistent without deviations across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current Good Manufacturing Practice, or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unable to manufacture or contract for a sufficient supply of our product candidates on acceptable terms, or if we encounter delays or difficulties in the scale-up of our manufacturing processes or our relationships with WuXi or other manufacturers,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and results of operations. In addition, if any of our product candidates are approved for sale, our inability to manufacture or contract for a sufficient supply of such potential future products on acceptable terms would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patents, know-how and proprietary technology, both our own and licensed from others. For example, we have two patent license agreements, or the NIH Agreements, with the National Institutes of Health, or the NIH, pursuant to which we obtained exclusive, worldwide licenses to certain patents to use an anti-CD19 CAR in our autologous and allogeneic CAR T-cell products for the treatment of patients with autoimmune disease, which is the CAR we used to create our lead product candidate, KYV-101. Any termination of these licenses could result in the loss of significant rights and could harm our ability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also may arise between us and our licensors regarding intellectual property subject to a license agreement,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future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and rights to use inventions and know-how resulting from the joint or individual creation or use of intellectual property by our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of our current and future agreements with third parties may limit or delay our ability to consummate certain transactions, may impact the value of those transactions, or may limit our ability to pursue certain activities. For example, we may enter into license agreements that are not assignable or transferable, or that require the licensor’s express consent in order for an assignment or transfer to take place. 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in-licensed patents, know-how and confidentiality agreements to protect the intellectual property related to our product candidates and technologies and to prevent third parties from copying and surpassing our achievements, thus eroding our competitive position in our market. For example, pursuant to the NIH Agreements, we obtained exclusive, worldwide licenses to certain patents to use an anti-CD19 CAR in our autologous and allogeneic CAR T-cell products for the treatment of patients with autoimmune disease, which is the CAR we used to create our lead product candidate, KYV-101.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our existing patents and any future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dependent on our licensors to take necessary action to comply with patent protection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or our collaborators’ or licensors’ pending patent applications directed to composition of matter of our product candidates will be considered patentable by the United States Patent and Trademark Office, or the USPTO, or by patent offices in foreign countries, or that the claims in any of our or our licensors’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or our licensors’ pending patent applications may be challenged in patent offices in the United States and abroad. 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pending patent applications will issue, or that our issued patents or patents that issue in the future will not be challenged and rendered invalid and/or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pending and issued U.S. and foreign patents and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issued patent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will result in issued patents with claims that cover each of our product candidates or uses thereof in the United States or in other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pending and future patent applications may not result in patents being issued that protect our product candidates, in whole or in part, or which effectively prevent others from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an interference proceeding in the United States can be initiated by the USPTO or a third party to determine who was the first to invent any of the subject matter covered by the patent claims of our applications. Therefore, we cannot be certain that we were the first to make the inventions claimed in our patents or pending patent applications, or that we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patent licenses with third parties, we could lose license rights that are important to our business,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pursuant to which we in-license patent and patent applications, know-how, trade secrets and data rights for our product candidates. These include, for example, the NIH Agreements, pursuant to which we obtained exclusive, worldwide licenses to certain patents to use an anti-CD19 CAR in our autologous and allogeneic CAR T-cell products for the treatment of patients with autoimmune disease, and the Intellia Agreement, which provides for the research and development of the CRISPR Product Candidate. These existing licenses impose on us various diligence, milestone payment, royalty, insurance and other obligations. If we fail to comply with these obligations, our licensors may have the right to terminate the license, in which event we would not be able to develop or market the products covered by such licensed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limited control over the maintenance and prosecution of these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will result in valid and enforceable patents and other intellectual property rights. Our licensors may not successfully prosecute the patent applications to which we are licensed in a manner consistent with the best interests of our business.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prevent other companies from licensing some of the same intellectual properties that we have licensed or from otherwise duplicating our business model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parties we have licenses with are developing therapies to similar technologies, they may make their methods and data available to third parties, who may want to enter into our line of business and compete against us. Although we currently exclusively license certain intellectual property for each of our product candidates, there can be no assurance we will not need to license other intellectual property on a non-exclusive basis in the future or that our exclusively licensed intellectual property could be used to prevent third parties from duplicating our business plan or from otherwise directly competing against us. Further, no assurance can be given that our existing exclusive rights are or will be sufficient to prevent others from competing with us and developing substantially similar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develop current and any future product candidates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results of operations and financial condition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licensed from various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particular, under the NIH Agreements the NIH reserves, on behalf of the United States federal government and certain third parties, an irrevocable, nonexclusive, worldwide, royalty-free license to practice all of the inventions licensed under such agreements, and the NIH also reserves the right to grant third parties research licenses on reasonable terms. Under the Intellia Agreement, Intellia is granted an irrevocable, nonexclusive, worldwide, royalty-free license to fully exploit certain Intellia-developed products that are not directed to CD19 or other B-cell antigens and which are not intended for treatment or prevention of autoimmune or inflammatory diseases or conditions and not for humoral rejection for solid organ transplantation.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and may sue us for patent or other intellectual property infringement. These lawsuits are costly and could adversely affect our business, financial condition and results of operations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We may not be able to enter into licensing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and results of operations. Any claims by third parties that we have misappropriated their confidential information or trade secrets could have a similar material and adverse effect on our business, financial condition and results of operations. In addition, any uncertainties resulting from the initiation and continuation of any litigation could have a material adverse effect on our ability to raise the funds necessary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or other third parties may infringe our patents, trademarks or other intellectual property. To counter infringement or unauthorized use, we or one of our licensing partners may be required to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Moreover, we cannot assure you that we will have sufficient financial or other resources to file and pursue such infringement claims, which typically last for years before they are concluded.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at the EPO or similar proceedings in other foreign patent offices, where either our owned or in-licensed foreign patents are challenged.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or our licensors’ patents and other intellectual property or claims asserting that our employees, consultants or advisors have wrongfully used or disclosed alleged trade secrets of their current or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products or product candidates for an adequate amount of time. If we do not obtained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or the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future issued patents. The Leahy-Smith Act includes a number of significant changes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registered or unregistered trademarks or trade names may be challenged, infringed, circumvented or declared merely descriptive, generic or determined to be infringing on other marks. The use of our registered and unregistered marks is also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limited foreign intellectual property rights and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Although we have environmental liability insurance for our California facility as required by the related lease agreement, we do not currently carry specific biological waste or hazardous waste insurance coverage, workers compensation or property and casualty and general liability insurance policies that include coverage for criminal damages and fines arising from biological or hazardous waste exposure or contamination.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conducted, are currently conducting, and may in the future conduct clinical trials for our product candidates outside the United States, and the FDA and comparable foreign regulatory authorities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are currently conducting, and may in the future conduct one or more clinical trials of our current or future product candidates outside the United States, including in Germany.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in the United States, we may never receive regulatory approval to market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of our current or future product candidates outside of the United States and are currently conducting certain clinical trials internationally, including in Europe.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authorities is unpredictable but typically takes many years following the commencement of clinical trials and depends upon numerous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including the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until we receive regulatory approval of our product candidates through a new drug application, or NDA, or biologics license application, or BLA, from the FDA. The FDA and other regulatory authorities may delay, limit or deny approval of our product candidates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to the satisfaction of the FDA or other regulatory authorities that any of our product candidates are safe and effective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or clinical significance required by the FDA or other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disagree with the number, design, size, conduct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not find the data from preclinical studies and clinical trials sufficient to demonstrate that the benefits of any of our product candidates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disagree with our interpretation of data from preclinical studies or clinical trials, or may not accept data generated at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any of our product candidates may not be sufficient to support the submission of an IND or other application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development of a risk evaluation and mitigation strategy, or REMS, and other regulatory authorities may require a risk management plan, or RMP, as a condition of approval for new products, among other additional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identify deficiencies in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change their approval policies or adopt new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 or other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risk management approaches. The FDA or other regulatory authorities may not accept the labeling claims that we believe would be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and its foreign counterparts may respond to any BLA or NDA that we may submit by defining requirements that we do not anticipate. Such responses could delay clinical development of any of our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28, 2023, the FDA issued a statement that it is investigating serious risk of T-cell malignancy following BCMA-directed or CD19-directed autologous chimeric antigen receptor (CAR) T cell immunotherapies, such as KYV-101.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However, because all currently approved CAR T-cell immunotherapies are in oncology indications, there can be no assurance that the FDA will reach the same risk-benefit analysis in other indications, such as autoimmune. Given that the autoimmune diseases we are seeking to treat are different indications from the approved oncology indications, the FDA and other regulatory authorities may apply a different benefit-risk assessment threshold such that even if our product candidate demonstrated a similar safety profile as current CAR T therapies, the FDA could ultimately determine that the harmful side effects outweigh the benefits and require us to cease clinical trials or deny approval of our product candidates.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failure in obtaining required approvals could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commercialize any product candidates, alone or with our partners, such product may become subject to unfavorable pricing regulations, third-party reimbursement practices or healthcare reform initiatives,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recoup our investment in one or more product candidates, even if our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Plan for Addressing High Drug Prices that outlines principles for drug pricing reform and sets out a variety of potential legislative policies that Congress could pursue as well as potential administrative actions HHS can take to advance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laws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 keeping, licensing, storage and security requirements intended to prevent the unauthorized sale of pharmaceutical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time-and resource-consuming and may divert our management’s attention from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governmental and enforcement authorities will conclude that our business practices may not comply with current or future statutes, regulations or case law interpreting applicable fraud and abuse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seek an accelerated approval for one or more of our product candidates. Under the accelerated approval pathway,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or FDORA, the FDA is permitted to require, as appropriate, that such studies be underway prior to approval or within a specified time period after the date accelerated approval is granted.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 to send the necessary updates to the FDA. The FDA is empowered to take action against companies that fail to conduct with due diligence any post-approval confirmatory study or submit 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seeking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would result in a longer time period to commercialization of such product candidate, if any, could increase the cost of development of such product candidate and could harm our competitive position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pursuing or maintaining Fast Track or other expedited regulatory designations for our product candidates, and such designations may not actually lead to a faster development or regulatory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received Fast Track designation for KYV-101 for the treatment of patients with refractory lupus nephritis in May 2023, for KYV-101 for the treatment of patients with myasthenia gravis in December 2023 and for KYV-101 for the treatment of patients with multiple sclerosis in January 2024, these designations do not assure that we will experience a faster development process, regulatory review or regulatory approval process compared to conventional FDA procedures. In addition, the FDA may withdraw a Fast Track or other accelerated review designation if it believes that the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other such challenges, and the healthcare reform measures of the Biden administration, will impact the ACA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2031. Under current legislation, the actual reduction in Medicare payments will vary from 1% in 2022 to up to 4% in the final fiscal year of this sequester. In addition, on May 30, 2018, the Trickett Wendler, Frank Mongiello, Jordan McLinn, and Matthew Bellina Right to Try Act of 2017 was signed into law. The law, among other things, provides a federal framework for certain patients to access certain IND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IND products under the current federal right to try law. In certain countries outside the United States, reimbursement for products that have not yet received marketing authorization may be provided through national managed access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Changing regulatory environments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Regulation No. 2021/2282 on HTA, amending Directive 2011/24/EU, was adopted in the European Union. This Regulation, which entered into force in January 2022 and will apply as of January 2025, is intended to boost cooperation among EU Member States in assessing health technologies, including new medicinal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products, and providing the basis for cooperation at European Union level for joint clinical assessments in these areas. The Regulation foresees a three-year transitional period and will permit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negatively impacted by environmental, social and corporate governance, or ESG, matters or our reporting of such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an increasing focus from certain investors, employees, partners, and other stakeholders concerning ESG matters. While we have internal efforts directed at ESG matters and preparations for any increased required future disclosures, we may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or that harm our stock price. In addition, we currently do not report our environmental emissions, and lack of reporting could result in certain investors declining to invest in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or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Data and Privacy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and the third parties upon which we rely face a variety of evolving threats which could cause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internal information technology systems and those of our CROs, CMOs,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In particular, ransomware attacks, including those from organized criminal threat actors, nation-states and nation-state-supported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also now engage and are expected to continue to engage in cyberattacks, including without limitation nation-state actors, for geopolitical reasons and in conjunction with military conflicts and defense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products, if approved.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future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Further, we may experience delays in developing and deploying remedial measures designed to address any such identified vulnerabilities.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including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Health Insurance Portability and Accountability Act of 1996, or HIPAA. Depending on the facts and circumstances, we could be subject to penalties if we violate HIPAA.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which creates new individual privacy rights for California consumers (as defined in the law), including the right to opt out of certain disclosures of their information, and places increased privacy and security obligations on entities handling certain personal data of consumers or households. The CCPA also creates a private right of action with statutory damages for certain data breaches, thereby potentially increasing risks associated with a data breach. As currently written, the CCPA may impact our business activities and exemplifies the vulnerability of our business to the evolving regulatory environment related to personal data and protected health information. Further, the California Privacy Rights Act, or the CPRA, recently entered into force in California, amending the CCPA. The changes introduced by the CPRA impose additional data protection obligations on covered businesses, including additional consumer rights processes, limitations on data uses, new audit requirements for higher risk data, and opt-outs for certain uses of sensitive data. The amendments ushered in by the CPRA also create a new California data protection agency authorized to issue substantive regulations and could result in increased privacy and information security enforcement. Additional compliance investment and potential business process changes may be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observers have noted that the CCPA could mark the beginning of a trend toward more stringent privacy legislation in the United States, which could increase our potential liability and adversely affect our business. New consumer privacy laws entered into force in Connecticut, Colorado, Virginia and Utah in 2023. In addition, a number of other states have proposed new privacy laws, some of which are similar to the above-discussed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data protection laws, including the European Union’s General Data Protection Regulation, or the EU GDPR, and the UK equivalent of the same, or UK GDPR, together with the EU GDPR, the GDPR, may also apply to our processing of health-related and other personal data regardless of where the processing in question is carried out.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GDPR imposes stringent requirements for controllers and processors of personal data of individuals within the European Economic Area, or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United Kingdom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United Kingdom, and we will need to amend our processes and procedures to align with the new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relied and expect to continue to rely on third parties to conduct our preclinical studies and clinical trials, as well as investigator 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intend to rely in the future on third-party clinical investigators, CROs, and clinical data management organizations to conduct, supervise and monitor preclinical studies and clinical trials of our current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product candidates. In addition, third parties are conducting and we expect will continue to conduct investigator 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experience as a company in filing and supporting the applications necessary to gain marketing approvals. 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facilities for drug manufacturing, storage, distribution or quality testing. We currently rely, and expect to continue to rely, on third-party contract developers and manufacturers to manufacture bulk drug substances, drug products, raw materials, samples, components, and other materials for our product candidates. For example, under the WuXi Agreement, WuXi provides us certain with certain customized cell manufacturing, release and testing services for our KYV-101 product candidate; pursuant to the Oxford Agreement, we recently engaged Oxford to undertake lentiviral vector process development services, with the intention for Oxford to ultimately manufacture and supply to us lentiviral vectors for research and development purposes and for use in connection with our clinical trials; and under the ElevateBio Agreement, ElevateBio is undertaking process development services for the development of a low-cost, fully closed manufacturing process for our CAR T-cell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process for our product candidates is subject to the FDA, EMA and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and, in certain cases, current good tissue practice, or cGTP, requirements. Securing marketing approval also requires the submission of information about the product manufacturing process to, and inspection of manufacturing facilities by, the FDA, EMA and foreign regulatory authorities. If our CMOs cannot successfully manufacture material that conforms to our specifications and the strict regulatory requirements of the FDA, EMA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and cGTPs, or maintain a compliance status acceptable to the FDA, EMA or foreign regulatory authorities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preclinical studies or clinical trials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existing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False Claims Act, corporate integrity agreements, consent decrees, or withdrawal of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sole source and limited source suppliers for certain drug substances, drug products, raw materials, samples, components, and other materials used in our product candidates. For example, WuXi is currently our sole provider of customized cell manufacturing, release and testing services for our KYV-101 product candidate. We do not currently have long-term supply contracts with all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any of the sole source and limited source suppliers upon whom we rely could stop producing our supplies, cease operations or be acquired by, or enter into exclusive arrangements with, our competitors. In addition, geopolitical tensions may impact our CMOs. For example, in February 2024, a group of bipartisan U.S. lawmakers called for investigations into the Chinese biotechnology companies WuXi AppTec Co., Ltd., WuXi’s parent company, and the affiliated WuXi Biologics, including calling for these companies to be added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in response to this, adding either or both previously mentioned WuXi entities on any or all of the aforementioned lists could materially impact our relationship with WuXi and the WuXi Agreement due to those entities’ affiliation with WuXi.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operations of our suppliers, some of which are located outside of the United States, are subject to additional risks that are beyond our control and that could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some of our suppliers are located outside of the United States. As a result of our global suppliers,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or cGTPs or status acceptable to the FDA, EMA or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form or seek collaborations or strategic alliances or enter into additional licensing arrangements in the future, which may be important to our business. If we are unable to enter into new collaborations, or if these or any of our current collaborations are not successful and we fail to realize the benefits of such collaborations or licensing arrangements,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part of our strategy is to strategically evaluate and, as we deem appropriate, enter into additional partnerships in the future, including potentially with major biotechnology or pharmaceutical companies. We have limited capabilities for product development and do not yet have any capability for commercialization. Accordingly, we may continue to enter into collaborations with other companies in the future to provide us with important technologies and funding for our programs and technology. Any future collaborations that we enter into may not be successful. The success of our collaboration arrangements will depend heavily on the efforts and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collaborations and any future collaborations we enter into may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collaborating with them, and in such cases, we would not have the exclusive right to develop or commercialize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seek to amend or modify the terms of any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is involved in a business combination, the collaborator might deemphasize or terminate the development or future commercialization of any product candidate licensed to it by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by the collaborator, and, if terminated, we could be required to raise additional capital to pursue further development or future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under such collaboration. All of the risks relating to product development, regulatory approval and future commercialization described in this “Risk Factors” section and elsewhere in this Annual Report on Form 10-K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partners for our product candidates, and the negotiation process is time-consuming and complex. In order for us to successfully partner with our product candidates, potential partners must view these product candidates as economically valuable in markets they determine to be attractive in light of the terms that we are seeking and other available products for licensing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results of operations and financial condition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may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likely to be volatile and could fluctuate widely in response to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product candidates, including the results of clinical trials by us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competitors that impact our competitive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developments with respect to our product candidates, or similar products or product candidates with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patents 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 candidates, new products or new contracts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strategic transactions, including acquisitions, collaborations, licenses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 due to the level of development expenses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equities research analysts and whether our earnings (or losses) meet or exceed such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and receipt, or lack of receipt, of funding in support of conducting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or issuances by us of shares of our common stock in connection with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and trends in the pharmaceutical, biotechnology and other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within, and outside of, the United States, including 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arbitration;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natural disasters or major catastrophic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and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 risks described in this section titled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market price of a stock has been volatile, as our stock price may be,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preclinical studies and ongoing and future clinical trials, or the addition or termination of any such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collaborations, licenses or similar arrangements, and the timing and amount of payments we may make or receive in connection with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would dilute our share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2024 Equity Incentive Plan, or our 2024 Plan, our management is authorized to grant stock options to our employees, directors and consultants. Initially, the aggregate number of shares of our common stock that may be issued pursuant to stock awards under our 2024 Plan is 4,215,000 shares. Additionally, the number of shares of our common stock reserved for issuance under the 2024 Plan will automatically increase on January 1st of each year, beginning on January 1, 2025 and continuing through and including January 1, 2034, by 5%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acquire other businesses, form joint ventures or make investments in other companies or technologies that could negatively affect our operating results, dilute our stockholders’ ownership, increase our debt or cause us to incur significant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potential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contractual obligations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the 16,675,000 shares of our common stock sold in the IPO (unless they were purchased by one of our affiliates) are freely tradable, without restriction, in the public market following the IPO. However, our directors and executive officers and holders of substantially all of our outstanding securities have entered into lock-up agreements with the underwriters for the IPO pursuant to which they may not, with certain exceptions, through August 5, 2024, offer, sell or otherwise transfer or dispose of any of our securities, without the prior written consent of the representatives of the underwriters. Sales of these shares, or perceptions that they will be sold, could cause the trading price of our common stock to decline. After the lock-up agreements expire, an additional 26,319,350 shares of our common stock will be eligible for sale in the public market; however, shares held by directors, executive officers and other affiliates will continue to be subject to volume limitations under Rule 144 under the Securities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shares of our common stock that are subject to outstanding options under our equity incentive plans are eligible for sale in the public market after this offering,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this offering, the holders of 25,171,265 shares of our outstanding common stock, or approximately 58.4% of our total outstanding common stock as of March 1, 2024,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Conflicts of interest may arise because some members of our board of directors are representatives of our principal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will be able to control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 2024, our executive officers, directors and holders of 5% or more of our capital stock beneficially owned approximately 48.8% of our outstanding common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or Section 404, reduced disclosure obligations regarding executive compensation in this Annual Report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the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404 and reduced disclosure obligations regarding executive compensation in this Annual Report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that may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staggered board of directors divided into three classes serving staggered three-year terms, such that not all members of our board of directors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amended and restated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can remove directors only for cause and only upon the approval of not less than 66-2/3% of all outstanding shares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66-2/3% of all outstanding shares of our capital stock to amend our amended and restated bylaws and specific provisions of our amended and restated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jurisdictions in which certain stockholder litigation may be brought.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General Corporation Law of the State of Delaware, or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to the fullest extent permitted by law,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our amended and restated certificate of incorporation or amended and restated bylaws; or (v) any other action asserting a claim that is governed by the internal affairs doctrine. In addition, our amended and restated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Techniques employed by short sellers may drive down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5" w:name="item_1c_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Cyber Risk Management and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under the oversight of the Audit Committee of our board of directors, have implemented and maintain an enterprise risk management process, which includes periodic assessments of various risk categories, including cyber risks, across our Company. Our process for assessing, identifying, and managing risks from cybersecurity threats is informed by industry standards and supported by cybersecurity technologies, including third-party security solutions, monitoring, and alerting tools, designed to monitor, identify, and address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leverage a managed security service provider and also engage with other third-party providers and consultants to support our cyber risk management efforts, including through periodic security testing. We have a process to assess and review the cybersecurity practices of information technology third-party vendors and service providers, including through review of applicable certifications, security reports, and vendor questionnaires and contractual requirements, as appropriate.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 Related to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 risk management program and related operations and processes are directed by our Head of IT in consultation with the legal team and our third-party security advisor. Currently, our Head of IT role is held by an individual who has over 20 years of information technology experience. The Head of IT reports to our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Head of IT meets with our Chief Financial Officer periodically to discuss and review our cybersecurity risk management processes and to address matters related to potential cybersecurity and information technology risks, with input from our third-party technology providers, as appropriate. In addition, our Head of IT has regular meetings with our managed security service provider to inform our cyber risk management processes and reporting to management. Our Head of IT, working with our Chief Financial Officer, provides periodic reports on cybersecurity and information technology matters to our Audit Committee, which assists our board of directors in reviewing and overseeing our risk management process, including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Chief Financial Officer and our Audit Committee periodically report on cybersecurity risk management to the full board of directors. Our board of directors, as a whole and through its committees, has responsibility for the periodic review and oversight of information technology risks, including cybersecurity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enterprise risk management program is overseen by a risk management committee comprised of senior management across key functional areas inclusive of cybersecurity and information technology matters. This committee, working with our Chief Financial Officer, provides periodic reports and updates, as needed, to our board of directors or our Audit Committee. In collecting information on enterprise risk, cybersecurity is included as a designated risk category, and the results of our enterprise risk assessment processes, including risks related to cybersecurity, are also discussed with the Audit Committee and among senior management on a periodic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Affects of Cybersecurity Incidents</w:t>
      </w:r>
    </w:p>
    <w:p>
      <w:pPr>
        <w:pStyle w:val="TextBody"/>
        <w:bidi w:val="0"/>
        <w:spacing w:before="240" w:after="283"/>
        <w:jc w:val="left"/>
        <w:rPr>
          <w:rFonts w:ascii="Times New Roman" w:hAnsi="Times New Roman"/>
          <w:sz w:val="20"/>
        </w:rPr>
      </w:pPr>
      <w:r>
        <w:rPr>
          <w:rFonts w:ascii="Times New Roman" w:hAnsi="Times New Roman"/>
          <w:color w:val="000000"/>
          <w:sz w:val="20"/>
        </w:rPr>
        <w:t>Except as disclosed in Part I, Item 1A, “Risk Factors” of this Annual Report on Form 10-K, including, without limitation, the risk factor under the heading “</w:t>
      </w:r>
      <w:r>
        <w:rPr>
          <w:rFonts w:ascii="Times New Roman" w:hAnsi="Times New Roman"/>
          <w:i/>
          <w:color w:val="000000"/>
          <w:sz w:val="20"/>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r>
        <w:rPr>
          <w:rFonts w:ascii="Times New Roman" w:hAnsi="Times New Roman"/>
          <w:color w:val="000000"/>
          <w:sz w:val="20"/>
        </w:rPr>
        <w:t>”, risks from cybersecurity threats, including as a result of any previous cybersecurity incidents, have not materially affected and are not reasonably likely to materially affect our company, including our business strategy, results of operations, or financial condition.</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are located in Emeryville, California, where we house our administrative, manufacturing and R&amp;D activities. We currently lease approximately 68,000 square feet of space as our primary headquarters in Emeryville, California. One of the leases expires in January 2027, with an option for us to extend the term until January 2030. Another lease of approximately 35,000 square feet expires in February 2027 and does not have an option to extend the lease term. We believe that our existing facility is adequate to meet our current needs, and that suitable additional alternative spaces will be available in the future on commercially reasonable terms.</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“KYTX” since February 8, 2024. Prior to this date, there was no public market for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 2024, there were approximately 69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or the Exchange Act, and are not required to provide a performance graph.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2024, upon the closing of our initial public offering, or the IPO, all of our outstanding shares of redeemable convertible preferred stock automatically converted into 25,171,265 shares of our common stock. The issuance of such common stock upon conversion of the redeemable convertible preferred stock was exempt from the registration requirements of the Securities Act of 1933, as amended, or the Securities Act, pursuant to Section 3(a)(9) thereof, involving an exchange of securities exchanged by the issuer with its existing security holders exclusively where no commission or other remuneration is paid or given directly or indirectly for soliciting such exchange.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October 1, 2023 and December 29, 2023, we issued to certain of our employees and directors options to purchase an aggregate of 1,762,161 shares of our common stock at a weighted average exercise price of $4.94 per share. On February 7, 2024, we issued to certain of our employees options to purchase an aggregate of 239,914 shares of our common stock at an exercise price per share equal to $22.00. From October 1, 2023 through February 4, 2024, we issued to certain of our employees, consultants and directors an aggregate of 117,689 shares of our common stock at a per share price ranging from $0.32 to $4.42 per share pursuant to exercises of options. The offers, sales and issuances of the securities described in this paragraph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and received the securities under the Amended and Restated 2019 Stock Plan, or the 2019 Plan. Appropriate legends were affixed to the securities issued in these transactions. Each of the recipients of securities in these transactions had adequate access, through employment, business or other relationships, to information about our company. We filed a registration statement on Form S-8 under the Securities Act on February 8, 2024 to register all of the shares of our common stock subject to outstanding options and all shares of our common stock otherwise issuable pursuant to our equity compensation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 from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2024, we closed the IPO, pursuant to which we issued and sold 16,675,000 shares of common stock, which included the exercise in full by the underwriters of their option to purchase 2,175,000 additional shares, at an initial public offering price of $22.00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 and sale of all of the shares of our common stock in the IPO were registered under the Securities Act pursuant to a registration statement on Form S-1 (File No. 333-276523), which was declared effective by the SEC on February 7, 2024. Following the sale of the above shares, the offering terminated. J.P. Morgan, Morgan Stanley, Leerink Partners and Wells Fargo Securities acted as joint book-running managers.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aggregate gross proceeds from the IPO of $366.9 million, or aggregate net proceeds of $336.2 million, inclusive of the full exercise by the underwriters of their option to purchase additional shares, after deducting underwriting discounts and commissions and estimated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our planned use of the net proceeds from the IPO as described in our final prospectus filed pursuant to Rule 424(b)(4) under the Securities Act with the SEC on February 8,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0" w:name="item_6_reserved"/>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and other financial information included in Part II, Item 8 of this Annual Report. Some of the information contained in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patient-centered, clinical-stage biopharmaceutical company focused on developing cell therapies for patients suffering from autoimmune diseases. Our goal is to bring disease-modifying therapeutic benefits to patients suffering from autoimmune diseases through our patient-centered approach, our broad platform, our insights into treating immune disorders and the learnings from successful application of cell therapy in other areas of medicine. Our cell therapy approach to the treatment of autoimmune diseases is supported by the scientific publication of multiple autoimmune case studies using CD19 CAR T-cell treatment as well as early clinical data from our ongoing trials illustrating the disease-modifying potential of these therapies. This validation provides us with a clear path to continue advancing our lead product candidate, KYV-101, through clinical development across two broad areas of autoimmune disease: rheumatology and neurology.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in June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developing and establishing our intellectual property portfolio, raising capital and providing general and administrative support for these activities. We do not have any products approved for sale and have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and negative cash flows from operations since our inception. We have funded our operations primarily from sales of our redeemable convertible preferred stock, issuances of convertible notes and revenue from our collaboration agreement with Gilead Sciences, Inc., or Gilead, which terminated effective as of January 22, 2024. Our net losses were $60.4 million and $28.9 million for the years ended December 31, 2023 and 2022, respectively. As of December 31, 2023, we had an accumulated deficit of $136.0 million. On February 12, 2024, we closed an initial public offering, or the IPO, of 16,675,000 shares of our common stock at a price to the public of $22.00 per share, including the exercise in full by the underwriters of their option to purchase 2,175,000 additional shares of our common stock and received gross proceeds of $366.9 million. Net proceeds were approximately $336.2 million, after deducting underwriting discounts and commissions and estimated other offering costs. Management has determined that our cash and cash equivalents and available-for-sale marketable securities of $57.5 million as of December 31, 2023, together with the IPO proceeds, will be sufficient to fund our planned operations for at least one year from the issuance date of the financial statements included in Part II, Item 8 of this Annual Report on Form 10-K. We plan to monitor expenses and raise additional capital through a combination of public and private equity and debt financings, strategic alliances and licensing arrangements.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will increase substantially in connection with our ongoing and planned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development of our product candidates, including KYV-101 in multiple clinical trials in parallel and KYV-201 into the clinic;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explore additional indications for our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procure manufacturing of clinical supply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discover, validate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 for which we may obtain marketing approval and related commercial manufacturing build-out;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portfolio of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own or operate any manufacturing facilities. We rely on contract manufacturing organizations, or CMOs, to produce our drug candidates in accordance with the U.S. Food and Drug Administration’s, or the FDA’s, current Good Manufacturing Practices regulations for use in our clinical studies. In March 2022, we entered into a master services agreement with WuXi ATU Advanced Therapies, Inc., or WuXi. WuXi’s facility in Philadelphia, Pennsylvania, provides us with certain customized cell manufacturing, release and testing services for our KYV-101 product candidate. Pursuant to our Licence and Supply Agreement with Oxford Biomedica (UK) Limited, or Oxford, dated September 2023, we recently engaged Oxford to undertake lentiviral vector process development services, with the intention for Oxford to ultimately manufacture and supply to us lentiviral vectors for research and development purposes and for use in connection with our clinical trials. In July 2023, we entered into a Development and Manufacturing Services Agreement with ElevateBio Base Camp, Inc., or ElevateBio, pursuant to which ElevateBio is undertaking process development services for the development of a low-cost, fully closed manufacturing process for our CAR T-cell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predict the timing or amount of increased expenses or when or if we will be able to achieve or maintain profitability, if at all.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2023, we effected a reverse stock split of the shares of our outstanding common stock at a ratio of 1-for-4.5511, or the Reverse Stock Split. Unless otherwise indicated, all references to shares of common stock, options to purchase common stock, share data, per share data and related information contained in this Annual Report on Form 10-K, including this Management's Discussion and Analysis, have been adjusted to reflect the effect of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affected by worldwide economic conditions and challenges, such as the effects of the ongoing geopolitical conflicts in Ukraine, the Israel-Hamas war, tensions in United States-China relations, disruptions in the banking industry and inflationary trends. The fiscal years 2023 and 2022 were marked by significant market uncertainty and increasing inflationary pressures. These market dynamics continue into 2024, and these and similar adverse market conditions may negatively impact our business, financial position and results of operations. For further discussion of the potential impacts of macroeconomic events on us, refer to the section titled “Risk Factors” in Part I, Item 1A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License Agreements with the National Institutes of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sooner, the NIH Agreements remain in effect until the last licensed patent rights granted pursuant to the respective agreement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accounted for the acquisition of the licenses, including patent rights and know-how, as an asset acquisition. As the acquired technology did not have an alternative use for accounting purposes, we recorded the consideration of $3.3 million as a research and development expense in the statements of operations and comprehensive loss for the year ended December 31, 2021. We recognized $0.2 million as research and development expense related to minimum annual royalty payments for the year ended December 31, 2023. No benchmark royalties were probable or payable as of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Intellia License and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into a License and Collaboration Agreement, or the Intellia Agreement, with Intellia Therapeutics, Inc.,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 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 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milestone payments were probable or payable as of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Intellia owned less than 5% of our outstanding equity. As of December 31, 2022, Intellia owned more than 5% and less than 10% of our outstanding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Gilead Collaboration, Option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2020, we entered into a Collaboration, Option and License Agreement, or the Gilead Agreement, with Gilead. Simultaneously with the entry into the Gilead Agreement, we entered into (i) a License Agreement, or the Kite Agreement, with Kite Pharma, Inc., or Kite, an affiliate of Gilead, and (ii) a stock purchase agreement, pursuant to which we issued to Gilead an aggregate of 6,890,744 shares of our Series A-2 Preferred Stock, of which 4,042,066 shares were issued as consideration under the Kite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Gilead Agreement, we and Gilead collaborated to develop potential cell-based therapy products using the SynNotch Technology and the SynNotch intellectual property related thereto, controlled by Gilead through Kite, for the treatment, diagnosis or prevention of autoimmune, inflammatory, or allogeneic stem cell transplant inflammatory diseases (excluding post-transplant infectious diseases), subject to certain exceptions. 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 Upon execution of the Gilead Agreement, Gilead paid us a one-time, non-refundable and non-creditable payment of $17.5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Gilead Agreement, we also granted Gilead, on a research program-by-program basis, an exclusive option, exercisable at any time during the Option Period for such program, to obtain an exclusive license under such program’s intellectual property to develop, manufacture, and commercialize optioned products belonging to such program for a specified fee and on the terms and conditions set out in the Gilead Agreement. For purposes of the foregoing, an Option Period meant, on a program-by-program basis, the period commencing on the date of execution of the Gilead Agreement and ending upon the earlier of (i) the expiration of the review period for such program and (ii) the ten-year anniversary of the date of execution of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30, 2022, after the completion of research activities under Program A and Program B, Gilead provided us with notice that Program A and Program B were terminated. There are currently no other active programs under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24, 2023, after agreement by both parties that the Gilead Agreement had no active programs, Gilead provided us with 90 days’ written notice to terminate the Gilead Agreement, and such termination became effective as of January 22,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concluded that the Gilead Agreement was in the scope of revenue recognition guidance. We estimated the transaction price as $17.5 million, which was allocated to two performance obligations, Program A and Program B, based on the relative fair value of each program. Other milestone payments were constrained and not included in the transaction price as they were considered not probable as of December 31, 2022. We recognized collaboration revenue based on the measure of progress using an estimated cost-based input method. For the years ended December 31, 2023 and 2022, we recognized zero and $7.0 million as collaboration revenue, respectively, under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period ended December 31, 2023 and 2022, Gilead owned more than 10% and less than 15% of our outstanding equity.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Kite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Concurrently with the Gilead Agreement, we entered into the Kite Agreement. Pursuant to the Kite Agreement, Kite granted to us a ten-year, co-exclusive license for the SynNotch technology primarily used in our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Kite had licensed certain of the SynNotch technology included in the Kite Agreement pursuant to that certain Amended and Restated Exclusive License Agreement, between The Regents of the University of California and Kite (as successor to Cell Design Labs, Inc.), or the UCSF License Agreement. We are responsible for all costs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arising under the UCSF License Agreement and as a result of activities under the Kite Agreement, including earned royalties based on a low single-digit percentage of net sales, milestone payments in an aggregate amount of up to $10.8 million and accrued interest payables. Pursuant to the Kite Agreement, we are also obligated to pay mid-teen-and mid-single-digit percentages of annual maintenance fees, minimum annual royalties and patent prosecution costs payable under the UCSF License Agreement during the co-exclusive term and non-exclusive term, respectively. We were also obligated to pay a $6.3 million sublicensing fee under the UCSF License Agreement, which we agreed to offset with future milestone payments payable by Gilead under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the Kite Agreement will expire upon the expiration of all licensed patents and Kite improvement patents therein. We have the right to terminate the Kite Agreement at will, in our sole discretion, in its entirety upon 90 days’ written notice to Kite. In addition, either party may terminate the Kite Agreement for uncured material breach by the other party, or upon the occurrence of insolvency-related events of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consideration for the license, we issued to Gilead an aggregate of 4,042,066 shares of our Series A-2 Preferred Stock at a price per share of $0.8776, which was the purchase price paid by other investors in the Series A-2 Preferred Stock financing, for a total of $3.5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the co-exclusive license under the Kite Agreement, including patent rights and know-how, was accounted for as an asset acquisition. As the acquired technology did not have an alternative use for accounting purposes, the consideration of $3.5 million was recorded as a research and development expense in the statements of operations and comprehensive loss for the year ended December 31, 2020. The sublicensing fee payable of $6.3 million was recognized as research and development expenses in the statement of operations and comprehensive loss for the year ended December 31,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we recognized the total sublicensing fee of $6.3 million as current accrued license expense – related party, of which $2.5 million became payable as a result of the qualified financing. We expect to pay such amount of $2.5 million by mid-2024. The remaining $3.8 million was available to be offset against future milestones payable by Gilead under the Gilead Agreement; however, due to the termination of the Gilead Agreement, there are no future milestones payable to offset the sublicensing fee, and the payment schedule for the remaining $3.8 million of the sublicensing fee has not been agreed to by us and Gilead.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only paid minimal costs related to annual maintenance fees, patent prosecutions costs and minimal annual royalties for the years ended December 31, 2023 and 2022 under the Kite Agreement. No milestone payments were due or payable under the Kite Agreement as of December 31, 2023 and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had any product candidates approved for commercialization, we have not generated any revenue from product sales and we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fail to obtain regulatory approval for such product candidates, our ability to generate future revenue and our results of operations and financial position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all of our revenue consisted of collaboration revenue earned under the Gilead Agreement. This agreement included the following types of promised goods or services: (i) grants of licenses, (ii) performance of research and development services and (iii) participation in a joint steering committee. Our collaboration revenue under the Gilead Agreement was zero and $7.0 million for the years ended December 31, 2023 and 2022, respectively. No collaboration revenue was recognized after November 2022, when the current programs under the Gilead Agreement were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related to our collaboration agreements, refer to Note 2 in our financial statements included in Part II,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component of our total operating expenses since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clinical research organizations, or CROs, and investigative sites that conduct preclinical and clinical studies;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External research and development costs include: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costs associated with acquiring technology and intellectual property licenses that have no alternative future uses, milestone payments and annual license maintenance fees under our licensing agreements;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costs incurred under agreements with third-party CROs, CMOs and other third parties that conduct preclinical and clinical activities on our behalf and manufacture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consulting fees associated with our research and development activities;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costs associated with our research and development programs, including laboratory materials and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research and development costs include: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employee-related costs, including salaries, benefits, travel and meals expenses, and stock-based compensation expense for our research and development personnel;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allocated facilities and overhead costs, including software and other miscellaneous expenses incurred in connection with our research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payroll and personnel-related expenses, including: salaries, employee benefit costs and stock-based compensation expense; professional fees for legal, consulting, accounting and tax services; allocated overheads, including rent, equipment, information technology costs and utilities; and other general operating expenses not otherwise classified as 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following our IPO, as a result of increased personnel costs, including salaries, benefits and stock-based compensation expense, patent costs for our product candidates, expanded infrastructure and higher consulting, legal and accounting services associated with maintaining compliance with stock exchange listing and requirements of the Securities and Exchange Commission,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the SEC, investor relations costs and director and officer insurance premiums associated with being a public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and accretion of premiums and discounts on our investments in available-for-sale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expense related to our lab equipment finance leases.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primarily consists of settlement and revaluation of transactions and accounts payable in foreign currency.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spacing w:before="120" w:after="283"/>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3321"/>
        <w:gridCol w:w="546"/>
        <w:gridCol w:w="211"/>
        <w:gridCol w:w="736"/>
        <w:gridCol w:w="166"/>
        <w:gridCol w:w="146"/>
        <w:gridCol w:w="211"/>
        <w:gridCol w:w="736"/>
        <w:gridCol w:w="166"/>
        <w:gridCol w:w="146"/>
        <w:gridCol w:w="211"/>
        <w:gridCol w:w="736"/>
        <w:gridCol w:w="166"/>
        <w:gridCol w:w="146"/>
        <w:gridCol w:w="146"/>
        <w:gridCol w:w="481"/>
        <w:gridCol w:w="716"/>
      </w:tblGrid>
      <w:tr>
        <w:trPr/>
        <w:tc>
          <w:tcPr>
            <w:tcW w:w="33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44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5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 related party</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decreased by $7.0 million, or 100%, from $7.0 million for the year ended December 31, 2022 to zero for the year ended December 31, 2023. The decrease was related to the completion of research activities under the Gilead Agreement in November 2022. In November 2022, after the completion of research activities and recognition of all deferred revenue as collaboration revenue, the two programs under the Gilead Agreement were terminated, and rights were returned to us. On October 24, 2023, after agreement by both parties that the Gilead Agreement had no active programs, Gilead provided us with 90 days’ written notice to terminate the Gilead Agreement, and such termination became effective as of January 22, 2024. We do not expect any future collaboration revenue until we enter into another collaboration revenue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3971"/>
        <w:gridCol w:w="246"/>
        <w:gridCol w:w="211"/>
        <w:gridCol w:w="676"/>
        <w:gridCol w:w="146"/>
        <w:gridCol w:w="146"/>
        <w:gridCol w:w="211"/>
        <w:gridCol w:w="676"/>
        <w:gridCol w:w="146"/>
        <w:gridCol w:w="146"/>
        <w:gridCol w:w="211"/>
        <w:gridCol w:w="676"/>
        <w:gridCol w:w="146"/>
        <w:gridCol w:w="146"/>
        <w:gridCol w:w="146"/>
        <w:gridCol w:w="421"/>
        <w:gridCol w:w="516"/>
      </w:tblGrid>
      <w:tr>
        <w:trPr/>
        <w:tc>
          <w:tcPr>
            <w:tcW w:w="3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16" w:type="dxa"/>
            <w:tcBorders/>
            <w:shd w:fill="FFFFFF" w:val="clear"/>
            <w:vAlign w:val="center"/>
          </w:tcPr>
          <w:p>
            <w:pPr>
              <w:pStyle w:val="TableContents"/>
              <w:bidi w:val="0"/>
              <w:spacing w:before="0" w:after="283"/>
              <w:jc w:val="center"/>
              <w:rPr/>
            </w:pPr>
            <w:r>
              <w:rPr/>
              <w:t> </w:t>
            </w:r>
          </w:p>
        </w:tc>
      </w:tr>
      <w:tr>
        <w:trPr/>
        <w:tc>
          <w:tcPr>
            <w:tcW w:w="3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2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9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 fees, milestone payments and annual</w:t>
              <w:br/>
              <w:t>   maintenance fees related to acquired</w:t>
              <w:br/>
              <w:t>   technologies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 CMO, professional consulting and other</w:t>
              <w:br/>
              <w:t>   third-party preclinical studies and clinical</w:t>
              <w:br/>
              <w:t>   trials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costs,</w:t>
              <w:br/>
              <w:t>   including laboratory materials and supplies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2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9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and overhead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increased by $21.5 million, or 76%, from $28.4 million for the year ended December 31, 2022 to $49.9 million for the year ended December 31, 2023. License fees for the year ended December 31, 2023 mainly included expenses related to the minimum annual royalties of $0.2 million payable to the NIH. In 2023, CRO, CMO and other third-party preclinical studies and clinical trial expenses increased by $14.2 million and other research and development costs, including laboratory materials and supplies, increased by $0.2 million as compared to 2022 as we continued progress in our pre-clinical studies and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personnel-related research and development costs increased by $5.8 million as a result of hiring personnel in our research and development organization during the year. This increase included an increase of $0.4 million in stock-based compensation expense. Facilities and overhead costs increased by $1.2 million for 2023, mainly due to a $0.5 million increase in rent expense as we continued to invest in our research organization and expanded our leased facilities, an increase of $0.4 million in conference expenses and an increase of $0.2 million in allocated personnel-related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external costs by program for the periods presented:</w:t>
      </w:r>
    </w:p>
    <w:p>
      <w:pPr>
        <w:pStyle w:val="TextBody"/>
        <w:bidi w:val="0"/>
        <w:jc w:val="left"/>
        <w:rPr/>
      </w:pPr>
      <w:r>
        <w:rPr/>
        <w:t> </w:t>
      </w:r>
    </w:p>
    <w:tbl>
      <w:tblPr>
        <w:tblW w:w="7004" w:type="dxa"/>
        <w:jc w:val="left"/>
        <w:tblInd w:w="0" w:type="dxa"/>
        <w:tblLayout w:type="fixed"/>
        <w:tblCellMar>
          <w:top w:w="28" w:type="dxa"/>
          <w:left w:w="28" w:type="dxa"/>
          <w:bottom w:w="28" w:type="dxa"/>
          <w:right w:w="28" w:type="dxa"/>
        </w:tblCellMar>
      </w:tblPr>
      <w:tblGrid>
        <w:gridCol w:w="4301"/>
        <w:gridCol w:w="246"/>
        <w:gridCol w:w="211"/>
        <w:gridCol w:w="676"/>
        <w:gridCol w:w="146"/>
        <w:gridCol w:w="146"/>
        <w:gridCol w:w="211"/>
        <w:gridCol w:w="676"/>
        <w:gridCol w:w="391"/>
      </w:tblGrid>
      <w:tr>
        <w:trPr/>
        <w:tc>
          <w:tcPr>
            <w:tcW w:w="4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KYV-101</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w:t>
            </w:r>
          </w:p>
        </w:tc>
        <w:tc>
          <w:tcPr>
            <w:tcW w:w="391" w:type="dxa"/>
            <w:tcBorders/>
            <w:shd w:fill="CFF0FC" w:val="clear"/>
            <w:vAlign w:val="center"/>
          </w:tcPr>
          <w:p>
            <w:pPr>
              <w:pStyle w:val="TableContents"/>
              <w:bidi w:val="0"/>
              <w:spacing w:before="0" w:after="283"/>
              <w:jc w:val="left"/>
              <w:rPr/>
            </w:pPr>
            <w:r>
              <w:rPr/>
              <w:t> </w:t>
            </w:r>
          </w:p>
        </w:tc>
      </w:tr>
      <w:tr>
        <w:trPr/>
        <w:tc>
          <w:tcPr>
            <w:tcW w:w="4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KYV-201</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91" w:type="dxa"/>
            <w:tcBorders/>
            <w:shd w:fill="FFFFFF" w:val="clear"/>
            <w:vAlign w:val="center"/>
          </w:tcPr>
          <w:p>
            <w:pPr>
              <w:pStyle w:val="TableContents"/>
              <w:bidi w:val="0"/>
              <w:spacing w:before="0" w:after="283"/>
              <w:jc w:val="left"/>
              <w:rPr/>
            </w:pPr>
            <w:r>
              <w:rPr/>
              <w:t> </w:t>
            </w:r>
          </w:p>
        </w:tc>
      </w:tr>
      <w:tr>
        <w:trPr/>
        <w:tc>
          <w:tcPr>
            <w:tcW w:w="4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 and research and development</w:t>
              <w:br/>
              <w:t>   activities</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external research and development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2023, KYV-101 program expenses increased by $11.6 million, primarily attributable to a $9.5 million increase in CRO, CMO and other clinical trials costs as we continued to advance KYV-101 through clinical development across two broad areas of autoimmune disease: rheumatology and neurology. KYV-101 program expenses in 2023 also include $1.6 million of external expense related to the development of our Ingenui-T manufacturing process. KYV-201 expenses for 2023 increased by $4.1 million, including a $2.7 million increase in CRO, CMO and other third-party preclinical studies and a $1.2 million increase in other research and development costs, including laboratory materials and supplies, as we continued to advance KYV-201 through preclinical development. Other programs and research and development activities decreased by $1.2 million for the year ended December 31, 2023 compared to the year ended December 31, 2022 and include expenses related to our preclinical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activities, including reagents, lab supplies, outsourced research and development and professional consulting services.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$4.5 million, or 56%, to $12.5 million for the year ended December 31, 2023 from $8.0 million for the year ended December 31, 2022. The increase in general and administrative expenses was primarily attributable to a $2.6 million increase in salaries and benefits, including an increase of $0.9 million in stock-based compensation expense, an increase of $1.7 million in professional services costs related to legal, accounting and consulting services, and a $0.2 million increase in facilities and overhead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$1.7 million, from $0.6 million for the year ended December 31, 2022 to $2.3 million for the year ended December 31, 2023. The increase relates to increased amounts invested in available-for-sale marketable securities and an increase in interest rates on these securities during the year ended December 31, 2023 compared to year ended December 31,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and negative cash flows from our operations. Through December 31, 2023, we have primarily funded our operations from sales of shares of our redeemable convertible preferred stock of $168.0 million, issuances of convertible notes of $2.0 million and an upfront payment of $17.5 million under the Gilead Agreement. As of December 31, 2023, we had $57.5 million in cash, cash equivalents and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2024, we closed an initial public offering, or the IPO, of 16,675,000 shares of our common stock at a price to the public of $22.00 per share, including the exercise in full by the underwriters of their option to purchase 2,175,000 additional shares of our common stock. We received aggregate gross proceeds from the IPO of $366.9 million, or aggregate net proceeds of approximately $336.2 million, after deducting underwriting discounts and commissions and estimated other offering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the potential commercialization of our product candidates, if approved.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and negative cash flows from operations since our inception. As of December 31, 2023, we had an accumulated deficit of $136.0 million. Based on the current cash forecast, management has determined that our cash and cash equivalents and available-for-sale marketable securities of $57.5 million as of December 31, 2023, together with the IPO proceeds, will be sufficient to fund our planned operations for at least one year from the issuance date of the financial statements included in Part II, Item 8 of this Annual Report on Form 10-K. This forecast of cash resources and planned operations involves risks and uncertainties, and the actual amount of expenses could vary materially as a result of a number of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outstanding accounts payable, accrued expenses and prepaid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but not limited to,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timing, scope, progress and results of our preclinical studies and clinical trials for our current and future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current and future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for our product candidates, including any requirement to conduct more studies or generate additional data beyond that which we currently expect would be required to support a Biologic License Application;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cost of manufacturing clinical and commercial supplies, as well as scale-up of our current and future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potential increase in the number of our employees and expansion of our physical facilities to support growth initiatives;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cost of filing and prosecuting our patent applications, and maintaining and enforcing our patents and other intellectual property rights;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 against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costs associated with being a public company;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impact of inflation, as well as other factors, including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our operating plans may change, and we may need additional funds to meet operational needs and capital requirements for clinical trials and other research and development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presented:</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596"/>
        <w:gridCol w:w="246"/>
        <w:gridCol w:w="211"/>
        <w:gridCol w:w="736"/>
        <w:gridCol w:w="166"/>
        <w:gridCol w:w="146"/>
        <w:gridCol w:w="211"/>
        <w:gridCol w:w="736"/>
        <w:gridCol w:w="211"/>
      </w:tblGrid>
      <w:tr>
        <w:trPr/>
        <w:tc>
          <w:tcPr>
            <w:tcW w:w="35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decrease in cash and cash equivalents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$52.4 million and $36.1 million 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year ended December 31, 2023, was primarily due to our net loss of $60.4 million, decreased by other non-cash charges of $4.5 million and decreased by a net reduction of $3.4 million in our net operating assets and liabilities. Non-cash changes primarily consisted of $2.2 million stock-based compensation expense, $1.7 million depreciation and amortization expense and a $1.7 million non-cash lease expense, partially offset by $1.1 million accretion of discount on available-for-sale marketable securities. The change in our net operating assets and liabilities was primarily due to an increase in accounts payable of $4.1 million, a $2.7 million increase in other current liabilities and a $1.4 million increase in accrued compensation, offset by an increase in other non-current assets of $1.8 million, a decrease in operating lease liabilities of $1.7 million and an increase in prepaid expenses and other current assets of $1.2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year ended December 31, 2022, was primarily due to our net loss of $28.9 million, decreased by non-cash charges of $3.1 million and increased by a net reduction of $10.3 million in our net operating assets and liabilities. The non-cash charges primarily consisted of a $1.4 million non-cash lease expense, a $1.1 million depreciation and amortization expense and a $0.9 million stock-based compensation expense, partially offset by $0.3 million of income related to the accretion of discounts on available-for-sale marketable securities. The change in our net operating assets and liabilities was primarily due to a decrease in deferred revenue of $7.0 million related to recognition of collaboration revenue under the Gilead Agreement, a decrease in accrued license expenses of $1.6 million, a decrease in operating lease liabilities of $1.1 million, an increase in prepaid expenses and other current assets of $0.9 million and an increase in other long-term assets of $0.6 million, offset by a $0.7 million increase in accounts payable and a $0.3 million increase in accrued compensation.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2023, was $8.8 million, which consisted of $54.8 million of purchases of available-for-sale marketable securities and $0.6 million of purchases of property and equipment, offset by $46.7 million in proceeds from maturities and sales of available-for-sale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2022, was $14.1 million, which consisted of $56.5 million of purchases of available-for-sale marketable securities and $0.8 million of purchases of property and equipment, offset by $43.2 million in proceeds from maturities and sales of available-for-sale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was $58.1 million, which consisted of $59.9 million net cash proceeds from our issuance of shares of Series B Preferred Stock and $0.6 million of proceeds from exercises of stock options, partially offset by a payment of $0.8 million related to finance lease obligations and a payment of $1.6 million related to deferred initial public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2022, was $11.9 million, which consisted of $12.0 million net cash proceeds from our issuance of shares of Series B Preferred Stock and $0.2 million of proceeds from exercises of stock options, partially offset by a payment of $0.3 million related to finance lease obligations.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and, therefore, we believe that our non-cancellable obligations under these agreements are not material. We do not currently expect any of these agreements to be terminated and did not have any non-cancellable obligations under these agreements as of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milestone, royalty and other payments due to third parties under our existing license and collaboration agreements. Refer to Note 6 to our financial statements included in Part II, Item 8 of this Annual Report on Form 10-K for additional details. We cannot estimate when such payments will be due and none of these events were probable to occur as of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2020, we entered into a lab and office lease agreement, which was amended in November 2021 and expires in January 2027. In January and September 2022, we rented additional space under the amended agreement. We also have multiple leases for laboratory equipment with 36-month terms that are accounted for as finance leases. We have also leased some of our office and lab space under short-term lease agreements. As of December 31, 2023, our non-cancellable lease obligations were $8.2 million and $2.1 million under operating and finance leases, respectively, of which $2.5 million and $1.1 million related to operating and finance leases, respectively, are due within the next 12 months. Refer to Note 7 in our financial statements included in Part II, Item 8 of this Annual Report on Form 10-K for more information on our lease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we entered into an agreement to lease approximately 35,000 square feet of office space in Emeryville, California through February 2027. The lease commenced on February 28, 2024. Monthly rent payments are approximately $0.1 million. There is no renewal option for this lease. As of the lease inception, our non-cancellable lease obligations were approximately $3.0 million, of which $0.7 million are due within the next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2 to our financial statements included in Part II, Item 8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accrued research and development costs and stock-based compensation expense. These estimates and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significant accounting policies are described in more detail in Note 2 to our financial statements included in Part II, Item 8 of this Annual Report on Form 10-K, we believe that the following accounting estimates are those most critical to the judgments and estimates used in the preparation of our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various agreements with outsourced vendors, CMOs and CROs. We make estimates of accrued research and development expenses as of each balance sheet date based on facts and circumstances known at that time. We periodically confirm the accuracy of our estimates with the service providers and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we will adjust the accrual accordingly.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stock-based awards made to employees and non-employees based on the estimated fair value of the awards as of the grant date using the Black-Scholes option-pricing model. The model requires management to make a number of assumptions including common stock fair value, expected volatility, expected term, risk-free interest rate and expected dividend yield.</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Common Stock</w:t>
      </w:r>
      <w:r>
        <w:rPr>
          <w:rFonts w:ascii="Times New Roman" w:hAnsi="Times New Roman"/>
          <w:color w:val="000000"/>
          <w:sz w:val="20"/>
        </w:rPr>
        <w:t>. See the subsection titled “Determination of Fair Value of Common Stock” below.</w:t>
      </w:r>
    </w:p>
    <w:p>
      <w:pPr>
        <w:pStyle w:val="TextBody"/>
        <w:bidi w:val="0"/>
        <w:spacing w:before="2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Expected volatility is estimated by studying the volatility of the prices of shares of common stock of comparable public companies for similar terms. We will continue to apply this process until enough historical information regarding the volatility of our stock price becomes available.</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 Expected term represents the period that our stock-based awards are expected to be outstanding and is determined using the simplified method.</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 The risk-free interest rate is based on the U.S. Treasury zero-coupon bonds issued in effect at the time of grant for periods corresponding with the expected term of the option.</w:t>
      </w:r>
    </w:p>
    <w:p>
      <w:pPr>
        <w:pStyle w:val="TextBody"/>
        <w:bidi w:val="0"/>
        <w:spacing w:before="240" w:after="283"/>
        <w:jc w:val="left"/>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 xml:space="preserve"> — The Black-Scholes valuation model calls for a single expected dividend yield as an input. To date, we have not declared or paid any dividends and we do not expect to declare or pay any dividends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Determination of Fair Value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there had been no public market for our common stock prior to the IPO,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or the Practice 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the hybrid method was the most appropriate method for determining the fair value of our common stock based on our stage of development and other relevant factors. The hybrid method is a probability-weighted expected return method, or PWERM, where the equity value in one or more scenarios is calculated using an option pricing model, or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our common stock under various possible future liquidity event scenarios, considering the rights and preferences of each class of shares, and discounted for a lack of marketability. Under the hybrid method, an OPM was used to determine the fair value of our common stock in certain of the PWERM scenarios (capturing situations where our development path and future liquidity events were difficult to forecast), and potential exit events were explicitly modeled in the other PWERM scenarios. A discount for lack of marketability was applied to the value derived under each scenario to account for a lack of access to an active public market to estimate our common stock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considering the results of independent third-party valuations, our board of directors considered various objective and subjective factors to determine the fair value of common stock as of each grant date, including: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prices at which we sold shares of our preferred stock and the superior rights, preferences and privileges of our preferred stock relative to those of our common stock at the time of each grant;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progress of our research and development programs, including the status of preclinical studies and clinical trials for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stage of our development and our business strategy, and material risks related to our business;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external market conditions affecting the biotechnology industry and trends within the biotechnology industry;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competitive landscape for our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financial position, including cash on hand, and our historical and forecasted performance and operating results;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lack of an active public market for our common stock and our preferred stock;</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likelihood of achieving a liquidity event, such as an initial public offering or a sale of our company, given prevailing market conditions;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general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completion of the IPO, it is no longer necessary for our board of directors to estimate the fair value of our common stock in connection with our accounting for granted stock options and other equity awards we may grant, as the fair value of our common stock will be based on the quoted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ensure liquidity and to preserve capital. We are exposed to market risks related to changes in interest rates of our cash equivalents and available-for-sale marketable securities. However, due to the nature of these cash equivalents and investments, we do not believe that a hypothetical 10% increase or decrease in interest rates during any of the periods presented would have had a material effect on our financial statements included in Part II, Item 8 of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employees and our operations are currently predominately located in the United States and our expenses are generally denominated in U.S. dollars. However, we do use research and development vendors outside of the United States. As such, our expenses are denominated in both U.S. dollars and foreign currencies. Therefore, our operations are and will continue to be subject to fluctuations in foreign currency exchange rates. 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in Part II, Item 8 of this </w:t>
      </w:r>
      <w:r>
        <w:rPr>
          <w:rFonts w:ascii="Times New Roman" w:hAnsi="Times New Roman"/>
          <w:color w:val="231F20"/>
          <w:sz w:val="20"/>
        </w:rPr>
        <w:t>Annual Report on Form 10-K</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Inflation generally affects us by increasing our cost of labor and research and development costs. We do not believe that inflation had a material effect on our business, results of operations or financial condition, or on our financial statements included in Part II, Item 8 of this </w:t>
      </w:r>
      <w:r>
        <w:rPr>
          <w:rFonts w:ascii="Times New Roman" w:hAnsi="Times New Roman"/>
          <w:color w:val="231F20"/>
          <w:sz w:val="20"/>
        </w:rPr>
        <w:t>Annual Report on Form 10-K</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8_financial_statements_and_suppleme"/>
      <w:bookmarkEnd w:id="13"/>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on Form 10-K. An index of those financial statements is found in Item 15, Exhibits and Financial Statement Schedules, of this Annual Report on Form 10-K.</w:t>
      </w:r>
    </w:p>
    <w:p>
      <w:pPr>
        <w:pStyle w:val="TextBody"/>
        <w:bidi w:val="0"/>
        <w:spacing w:before="120" w:after="283"/>
        <w:jc w:val="left"/>
        <w:rPr>
          <w:rFonts w:ascii="Times New Roman" w:hAnsi="Times New Roman"/>
          <w:b/>
          <w:color w:val="000000"/>
          <w:sz w:val="20"/>
        </w:rPr>
      </w:pPr>
      <w:bookmarkStart w:id="14" w:name="item_9_changes_in_and_disagreements"/>
      <w:bookmarkEnd w:id="1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9a_controls_and_procedures"/>
      <w:bookmarkEnd w:id="15"/>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or the CEO, and Chief Financial Officer, or the CFO (our principal executive officer and principal financial officer, respectively), evaluated the effectiveness of our disclosure controls and procedures as of December 31, 2023.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evaluation our disclosure controls and procedures, as of December 31, 2023, our CEO and our CFO concluded that the disclosure controls were not effective, due to the material weaknesses in internal control over financial reporting described below, to provide reasonable assurance that information required to be disclosed by us in the reports that we file or submit under the Exchange Act is accumulated and communicated to management, including our CEO and CFO, as appropriate, to allow timely decisions regarding required disclosure and were not effective to provide reasonable assurance that such information is recorded, processed, summarized and reported within the time periods specified by the SEC’s rules and 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these material weaknesses, management has concluded that our financial statements included in this Annual Report on Form 10-K are fairly stated in all material respects in accordance with GAAP for each of the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does not include a report of management’s assessment regarding our internal control over financial reporting due to a transition period established by rules of the SEC for newly public companies.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Attestation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by our independent registered public accounting firm regarding our internal control over financial reporting due to a transition period established by the rules of the SEC for newly public companies.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Ongoing Remediation of Material Weaknesses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our final prospectus filed pursuant to Rule 424(b)(4) under the Securities Act with the SEC on February 8, 2024, and in connection with the preparation and audits of our financial statements as of and for the years ended December 31, 2023 and 2022, material weaknesses were identified in the design and operating effectiveness of our internal control over financial reporting. A material weakness is a deficiency, or a combination of deficiencies, in financial reporting, such that there is a reasonable possibility that a material misstatement of the annual or interim financial statements will not be prevented or detected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we did not appropriately design and maintain entity-level controls impacting the control environment, risk assessment, control activities, information and communication and monitoring activities to prevent or detect material misstatements to the financial statements. 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 components of internal controls were present and functioning based upon evidence maintained for management review controls and activity level controls across substantially all financial statement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begun taking measures, and plan to continue to take measures, to remediate these material weaknesses. These measures include hiring a Vice President of Finance/Corporate Controller and a Head of Information Technology and engaging a third party to assist in documenting the design and implementation of internal controls over the financial reporting process, including general controls over information systems.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expect to implement new procedures and controls and take efforts to address each of the identified weaknesses during fiscal years 2024 and 2025. These remediation measures will be time consuming and require financial and operational resources. See Part I, Item 1A. “Risk Factors”.</w:t>
      </w:r>
    </w:p>
    <w:p>
      <w:pPr>
        <w:pStyle w:val="TextBody"/>
        <w:bidi w:val="0"/>
        <w:spacing w:before="360" w:after="283"/>
        <w:jc w:val="left"/>
        <w:rPr>
          <w:rFonts w:ascii="Times New Roman" w:hAnsi="Times New Roman"/>
          <w:b/>
          <w:color w:val="000000"/>
          <w:sz w:val="20"/>
        </w:rPr>
      </w:pPr>
      <w:bookmarkStart w:id="16" w:name="item_9b_other_information"/>
      <w:bookmarkEnd w:id="16"/>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December 31, 2023,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pStyle w:val="TextBody"/>
        <w:bidi w:val="0"/>
        <w:spacing w:before="360" w:after="283"/>
        <w:jc w:val="left"/>
        <w:rPr>
          <w:rFonts w:ascii="Times New Roman" w:hAnsi="Times New Roman"/>
          <w:b/>
          <w:color w:val="000000"/>
          <w:sz w:val="20"/>
        </w:rPr>
      </w:pPr>
      <w:bookmarkStart w:id="17" w:name="item_9c_disclosure_regarding_foreign"/>
      <w:bookmarkEnd w:id="17"/>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18" w:name="item_10_directors_executive_officers"/>
      <w:bookmarkEnd w:id="1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25, 2024, our board of directors consists of seven members. In accordance with our amended and restated certificate of incorporation, which became effective in connection with the closing of our initial public offering, or the IPO, on February 12, 2024, our board of directors is divided into three classes with staggered three-year terms. At each annual meeting of stockholders, the successors to directors </w:t>
      </w:r>
      <w:r>
        <w:rPr>
          <w:rFonts w:ascii="Times New Roman" w:hAnsi="Times New Roman"/>
          <w:color w:val="231F20"/>
          <w:sz w:val="20"/>
        </w:rPr>
        <w:t>whose terms will then expire will be elected to serve from the time of election and qualification until the third annual meeting following their election</w:t>
      </w:r>
      <w:r>
        <w:rPr>
          <w:rFonts w:ascii="Times New Roman" w:hAnsi="Times New Roman"/>
          <w:color w:val="000000"/>
          <w:sz w:val="20"/>
        </w:rPr>
        <w:t>. Our directors are divided among the three classes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I, which consists of Beth Seidenberg, M.D. and Fred E. Cohen, M.D., D.Phil., and their terms will expire at the annual meeting of stockholders to be held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II, which consists of Ian Clark, Brian Kotzin, M.D. and Steve Liapis, Ph.D., and their terms will expire at the annual meeting of stockholders to be held in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III, which consists of Peter Maag, Ph.D. and Daniel K. Spiegelman, and their terms will expire at the annual meeting of stockholders to be held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our directors as of March 25, 2024:</w:t>
      </w:r>
    </w:p>
    <w:p>
      <w:pPr>
        <w:pStyle w:val="TextBody"/>
        <w:bidi w:val="0"/>
        <w:jc w:val="left"/>
        <w:rPr/>
      </w:pPr>
      <w:r>
        <w:rPr/>
        <w:t> </w:t>
      </w:r>
    </w:p>
    <w:tbl>
      <w:tblPr>
        <w:tblW w:w="8065" w:type="dxa"/>
        <w:jc w:val="left"/>
        <w:tblInd w:w="0" w:type="dxa"/>
        <w:tblLayout w:type="fixed"/>
        <w:tblCellMar>
          <w:top w:w="28" w:type="dxa"/>
          <w:left w:w="28" w:type="dxa"/>
          <w:bottom w:w="28" w:type="dxa"/>
          <w:right w:w="28" w:type="dxa"/>
        </w:tblCellMar>
      </w:tblPr>
      <w:tblGrid>
        <w:gridCol w:w="4216"/>
        <w:gridCol w:w="146"/>
        <w:gridCol w:w="436"/>
        <w:gridCol w:w="146"/>
        <w:gridCol w:w="312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Name</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Age</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Position(s)</w:t>
            </w:r>
          </w:p>
        </w:tc>
      </w:tr>
      <w:tr>
        <w:trPr/>
        <w:tc>
          <w:tcPr>
            <w:tcW w:w="421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Peter Maag, Ph.D. . . . . . . . .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57</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12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Executive Officer and Director</w:t>
            </w:r>
          </w:p>
        </w:tc>
      </w:tr>
      <w:tr>
        <w:trPr/>
        <w:tc>
          <w:tcPr>
            <w:tcW w:w="421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Ian Clark</w:t>
            </w:r>
            <w:r>
              <w:rPr>
                <w:rFonts w:ascii="Times New Roman" w:hAnsi="Times New Roman"/>
                <w:color w:val="231F20"/>
                <w:sz w:val="13"/>
              </w:rPr>
              <w:t xml:space="preserve">(1) </w:t>
            </w:r>
            <w:r>
              <w:rPr>
                <w:rFonts w:ascii="Times New Roman" w:hAnsi="Times New Roman"/>
                <w:color w:val="231F20"/>
                <w:sz w:val="20"/>
              </w:rPr>
              <w:t xml:space="preserve">. . . . . . . . . . . . . . . . . . . . . . . . . . . . . . . . . . </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63</w:t>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Chairperson and Director</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Fred E. Cohen, M.D., D.Phil.</w:t>
            </w:r>
            <w:r>
              <w:rPr>
                <w:rFonts w:ascii="Times New Roman" w:hAnsi="Times New Roman"/>
                <w:color w:val="231F20"/>
                <w:sz w:val="13"/>
              </w:rPr>
              <w:t xml:space="preserve">(1)(2) </w:t>
            </w:r>
            <w:r>
              <w:rPr>
                <w:rFonts w:ascii="Times New Roman" w:hAnsi="Times New Roman"/>
                <w:color w:val="231F20"/>
                <w:sz w:val="20"/>
              </w:rPr>
              <w:t xml:space="preserve">.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67</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12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r>
      <w:tr>
        <w:trPr/>
        <w:tc>
          <w:tcPr>
            <w:tcW w:w="421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Brian Kotzin, M.D.</w:t>
            </w:r>
            <w:r>
              <w:rPr>
                <w:rFonts w:ascii="Times New Roman" w:hAnsi="Times New Roman"/>
                <w:color w:val="231F20"/>
                <w:sz w:val="13"/>
              </w:rPr>
              <w:t xml:space="preserve">(3) </w:t>
            </w:r>
            <w:r>
              <w:rPr>
                <w:rFonts w:ascii="Times New Roman" w:hAnsi="Times New Roman"/>
                <w:color w:val="231F20"/>
                <w:sz w:val="20"/>
              </w:rPr>
              <w:t xml:space="preserve">. . . . . . . . . . . . . . . . . . . . . . . . . </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75</w:t>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Steve Liapis, Ph.D.</w:t>
            </w:r>
            <w:r>
              <w:rPr>
                <w:rFonts w:ascii="Times New Roman" w:hAnsi="Times New Roman"/>
                <w:color w:val="231F20"/>
                <w:sz w:val="13"/>
              </w:rPr>
              <w:t xml:space="preserve">(2)(3) </w:t>
            </w:r>
            <w:r>
              <w:rPr>
                <w:rFonts w:ascii="Times New Roman" w:hAnsi="Times New Roman"/>
                <w:color w:val="231F20"/>
                <w:sz w:val="20"/>
              </w:rPr>
              <w:t xml:space="preserve">. . . .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36</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12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r>
      <w:tr>
        <w:trPr/>
        <w:tc>
          <w:tcPr>
            <w:tcW w:w="421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Beth Seidenberg, M.D.</w:t>
            </w:r>
            <w:r>
              <w:rPr>
                <w:rFonts w:ascii="Times New Roman" w:hAnsi="Times New Roman"/>
                <w:color w:val="231F20"/>
                <w:sz w:val="13"/>
              </w:rPr>
              <w:t xml:space="preserve">(1)(2) </w:t>
            </w:r>
            <w:r>
              <w:rPr>
                <w:rFonts w:ascii="Times New Roman" w:hAnsi="Times New Roman"/>
                <w:color w:val="231F20"/>
                <w:sz w:val="20"/>
              </w:rPr>
              <w:t xml:space="preserve">. . . . . . . . . . . . . . . . . . . . . </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67</w:t>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Daniel K. Spiegelman</w:t>
            </w:r>
            <w:r>
              <w:rPr>
                <w:rFonts w:ascii="Times New Roman" w:hAnsi="Times New Roman"/>
                <w:color w:val="231F20"/>
                <w:sz w:val="13"/>
              </w:rPr>
              <w:t xml:space="preserve">(3) </w:t>
            </w:r>
            <w:r>
              <w:rPr>
                <w:rFonts w:ascii="Times New Roman" w:hAnsi="Times New Roman"/>
                <w:color w:val="231F20"/>
                <w:sz w:val="20"/>
              </w:rPr>
              <w:t xml:space="preserve">. . .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65</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12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r>
    </w:tbl>
    <w:p>
      <w:pPr>
        <w:pStyle w:val="TextBody"/>
        <w:bidi w:val="0"/>
        <w:jc w:val="left"/>
        <w:rPr>
          <w:rFonts w:ascii="Times New Roman" w:hAnsi="Times New Roman"/>
          <w:color w:val="231F20"/>
          <w:sz w:val="20"/>
        </w:rPr>
      </w:pPr>
      <w:r>
        <w:rPr>
          <w:rFonts w:ascii="Times New Roman" w:hAnsi="Times New Roman"/>
          <w:color w:val="231F20"/>
          <w:sz w:val="20"/>
        </w:rPr>
        <w:t xml:space="preserve">(1) Member of the Nominating and Corporate Governance Committee. </w:t>
      </w:r>
    </w:p>
    <w:p>
      <w:pPr>
        <w:pStyle w:val="TextBody"/>
        <w:bidi w:val="0"/>
        <w:jc w:val="left"/>
        <w:rPr>
          <w:rFonts w:ascii="Times New Roman" w:hAnsi="Times New Roman"/>
          <w:color w:val="231F20"/>
          <w:sz w:val="20"/>
        </w:rPr>
      </w:pPr>
      <w:r>
        <w:rPr>
          <w:rFonts w:ascii="Times New Roman" w:hAnsi="Times New Roman"/>
          <w:color w:val="231F20"/>
          <w:sz w:val="20"/>
        </w:rPr>
        <w:t>(2) Member of the Compensation Committee.</w:t>
      </w:r>
    </w:p>
    <w:p>
      <w:pPr>
        <w:pStyle w:val="TextBody"/>
        <w:bidi w:val="0"/>
        <w:jc w:val="left"/>
        <w:rPr>
          <w:rFonts w:ascii="Times New Roman" w:hAnsi="Times New Roman"/>
          <w:color w:val="231F20"/>
          <w:sz w:val="20"/>
        </w:rPr>
      </w:pPr>
      <w:r>
        <w:rPr>
          <w:rFonts w:ascii="Times New Roman" w:hAnsi="Times New Roman"/>
          <w:color w:val="231F20"/>
          <w:sz w:val="20"/>
        </w:rPr>
        <w:t>(3) Member of the Audit Committee.</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Peter Maag, Ph.D. </w:t>
      </w:r>
      <w:r>
        <w:rPr>
          <w:rFonts w:ascii="Times New Roman" w:hAnsi="Times New Roman"/>
          <w:color w:val="231F20"/>
          <w:sz w:val="20"/>
        </w:rPr>
        <w:t>has served as our Chief Executive Officer since October 2022. Dr. Maag is a seasoned global industry executive with a track record of transforming organizations and more than 20 years of executive management experience in the pharmaceutical and diagnostic industry. Prior to joining Kyverna, Dr. Maag was Executive Chairman of CareDx, Inc. (Nasdaq: CDNA) from November 2020 to November 2021 and Chief Executive Officer and President of CareDx from October 2012 to November 2020, where he built the company from a small start-up into a public company and industry-leading transplantation company through a series of BD&amp;L and financing transactions. Prior to joining CareDx, Dr. Maag held multiple positions at Novartis with increasing responsibilities. As President, Novartis Diagnostics, he drove growth and innovation in its blood-screening business. Prior to that, he led one of Novartis’ key affiliates as country president, Germany, and lived in a dynamically growing market as Country President, Korea. At headquarters in Switzerland, he served as the head of strategy for Novartis Pharmaceuticals and helped launch the Infectious Diseases franchise. Prior to joining Novartis, Dr. Maag worked at McKinsey&amp; Company in New Jersey and Germany, focusing on pharmaceuticals and globalization strategies. In addition to supporting various healthcare and tech companies in their growth efforts, he holds board and advisory positions at Phoenix Pharma SE, CareDx, Inc. (Nasdaq: CDNA), and the Personalized Medicine Coalition. He previously served on the board of directors of MiroMatrix Medical Inc. (Nasdaq: MIRO) from June 2021 until it was acquired by United Therapeutics Corporation in December 2023. Dr. Maag received his PhD from the University of Berlin, Germany, and studied pharmaceutical sciences in Heidelberg and London.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Dr. Maag’s position as our Chief Executive Officer as well as his extensive experience in the pharmaceuticals and life sciences industries provides him with the qualifications and skills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Ian Clark </w:t>
      </w:r>
      <w:r>
        <w:rPr>
          <w:rFonts w:ascii="Times New Roman" w:hAnsi="Times New Roman"/>
          <w:color w:val="231F20"/>
          <w:sz w:val="20"/>
        </w:rPr>
        <w:t>has served as Chairperson of our board of directors and as a member of our board of directors since September 2021. Mr. Clark has more than 35 years of experience in the biotechnology and pharmaceutical industry, most recently serving as Chief Executive Officer and member of the board of directors for Genentech, Inc., until his retirement in December 2016. During his seven-year tenure as Chief Executive Officer of Genentech, Mr. Clark and his team brought eleven new medicines to market for patients with rheumatoid arthritis, idiopathic pulmonary fibrosis and various types of cancer. Prior to that, Mr. Clark served as the Executive Vice President and Chief Marketing Officer of the Roche Group from April 2009 to December 2009. Prior to his time at the Roche Group, Mr. Clark held several senior management positions at Genentech Inc. from January 2003 to March 2009, including Head of Global Product Strategy, Chief Marketing Officer, Senior Vice President, General Manager of BioOncology and Executive Vice President, Commercial Operations. Prior to joining Genentech, Mr. Clark spent 23 years in the biopharmaceutical industry holding several positions of increasing responsibility at Novartis AG (NYSE: NVS, SIX: NOVN), Sanofi (Nasdaq: SNY), Ivax and Searle, working in the USA, United Kingdom, Canada, Eastern Europe and France. Currently, Mr. Clark is on the board of directors of several public biopharmaceutical and biotechnology companies: Takeda Pharmaceutical Company Limited (NYSE: TAK), Corvus Pharmaceuticals, Inc. (Nasdaq: CRVS), Guardant Health, Inc. (Nasdaq: GH), Olema Pharmaceuticals, Inc. (Nasdaq: OLMA) and Avrobio, Inc. (Nasdaq: AVRO). Mr. Clark previously served on the boards of Agios Pharmaceuticals, Inc. (Nasdaq: AGIO), Forty Seven Inc., Shire Pharmaceuticals, Inc., Kite Pharma, Inc., TerraVia Holdings, Inc., Gyroscope Therapeutics Limited, Dendreon Pharmaceuticals LLC and Vernalis (R&amp;D) Limited. He was also on the Board of Biotechnology Industry Association, on the BioFulcrum Board of the Gladstone Institute and on the Economic Advisory Council of the 12th District of the Federal Reserve. In addition, he served as an advisor to Blackstone Life Sciences, formerly Clarus Ventures, LLC, a venture capital firm, from September 2017 to September 2020, as well as to Perella Weinberg Partners LP and Lazard Ltd. Mr. Clark received his Bachelor of Science in Biological Sciences and an Honorary Doctorate of Science from Southampton University in the United Kingdom.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Mr. Clark is qualified to serve on our board of directors because of his vast experience in the biopharmaceutical industry, combined with his experience serving on the boards of directors of successful, high-growth public and private companies.</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Fred E. Cohen, M.D., D.Phil. </w:t>
      </w:r>
      <w:r>
        <w:rPr>
          <w:rFonts w:ascii="Times New Roman" w:hAnsi="Times New Roman"/>
          <w:color w:val="231F20"/>
          <w:sz w:val="20"/>
        </w:rPr>
        <w:t>has served as a member of our board of directors since September 2018. Since November 2017, Dr. Cohen has served as a Senior Managing Director of Vida Ventures, a venture capital firm that he co-founded in 2017. Dr. Cohen has also served as a co-founder and Chairman of Monograph Capital Partners, a biotechnology venture capital fund, since July 2021. Dr. Cohen currently serves as a Senior Advisor to TPG, where he previously served as a Partner and founder of TPG Biotechnology, a life science venture capital fund, from 2001 to 2016. Dr. Cohen was also a co-founder and executive chairperson of privately held Cell Design Labs, which was acquired by Gilead Sciences, Inc. (Nasdaq: GILD) in December 2017. From 1980 through 2014, Dr. Cohen was at the University of California, San Francisco (UCSF), where he held various responsibilities as a research scientist, an Internist for hospitalized patients, a consulting Endocrinologist, and as the Chief of the Division of Endocrinology and Metabolism. Dr. Cohen’s research interests included structure based drug design, prion diseases, computational biology and heteropolymer chemistry. Dr. Cohen has published over 200 peer reviewed articles, participated as a co-inventor on over 10 patents and has served as an editor or editorial board member of several international scientific journals. Dr. Cohen received his Bachelor of Science degree in Molecular Biophysics and Biochemistry from Yale University, his D.Phil. in Molecular Biophysics from the University of Oxford on a Rhodes Scholarship, his MD from Stanford University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has received several awards for his work including a Searle Scholarship, Young Investigator Awards from the Endocrine Society and the Western Society for Clinical Investigation, and the LVMH Science pour l’art prize (shared with Stanley Prusiner). Dr. Cohen was elected to the National Academy of Medicine in 2004 and the American Academy of Arts and Sciences in 2008. Dr. Cohen currently serves on the Board of Directors of several biotechnology and pharmaceutical organizations, including CareDx, Inc. (Nasdaq: CDNA), Progyny, Inc. (Nasdaq: PGNY), Intellia Therapeutics, Inc. (Nasdaq: NTLA) and UroGen Pharma Ltd. (Nasdaq: URGN). He is a past member of the boards of Quintiles Transnational (merged with IQVIA Holdings (NYSE: IQV)), Biocryst (Nasdaq: BCRX), Genomic Health (acquired by Exact Sciences Corp.) (Nasdaq: GHDX), Tandem Diabetes Care, Inc. (Nasdaq: TNDM), Five Prime Therapeutics, Inc. (Nasdaq: FPRX, acquired by Amgen Inc.), Roka Biosciences (Nasdaq: ROKA), and Veracyte, Inc. (Nasdaq: VCYT).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Dr. Cohen is qualified to serve on our board of directors because of his extensive experience in the biotechnology industry, including providing strategic advice and oversight to biopharmaceutical companies, as well as his financial and medical knowledge and experience.</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Brian Kotzin, M.D. </w:t>
      </w:r>
      <w:r>
        <w:rPr>
          <w:rFonts w:ascii="Times New Roman" w:hAnsi="Times New Roman"/>
          <w:color w:val="231F20"/>
          <w:sz w:val="20"/>
        </w:rPr>
        <w:t>has served as a member of our board of directors since August 2019. Dr. Kotzin brings experience including more than 25 years of academic research and 19 years of executive leadership at life science companies. Dr. Kotzin is a Board of Directors member at Rigel Pharmaceuticals Inc. (Nasdaq: RIGL), Biora Therapeutics, Inc. (Nasdaq: BIOR) and Genascence, Inc. Dr. Kotzin previously served as a member of the board of directors of Vera Therapeutics, Inc. (Nasdaq: VERA). Dr. Kotzin served as Senior Vice President for Nektar Therapeutics (Nasdaq: NKTR) from April 2017 to June 2023, and has held various leadership positions at Nektar, including serving as Chief Medical Officer and Head of Clinical Development from January 2021 to September 2021 and again from May 2022 to June 2023. From 2004 to 2015, Dr. Kotzin was Vice President, Global and Clinical Development and Head, Inflammation Therapeutic Area at Amgen Inc. (Nasdaq: AMGN), directing the global development efforts for product candidates in the inflammation area. During his employment at Amgen, Dr. Kotzin also served as Vice President of Translational Sciences and Head of Medical Sciences from 2006 to 2011. Prior to entering the life sciences industry, he held several positions from 1981 to 2004 as a professor and faculty member at the University of Colorado Health Sciences Center, where his research focused on the immunopathogenesis of autoimmune and inflammatory diseases. He received a doctorate in medicine from Stanford University and a bachelor’s degree in mathematics from the University of Southern California. Dr. Kotzin has held leadership roles at several national organizations, including as a member of the American College of Rheumatology (ACR) Board of Directors, Member and Chairperson of the NIH Immunological Sciences Study Section, Chairperson of the NIH Autoimmunity Centers of Excellence, and Member of the Board of Directors for the Federation of Clinical Immunology Societies. He is currently an elected Master of the ACR.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Dr. Kotzin is qualified to serve on our board of directors because of his extensive academic research experience in immunology and experience as a senior executive and board member for life sciences companies.</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Steve Liapis, Ph.D. </w:t>
      </w:r>
      <w:r>
        <w:rPr>
          <w:rFonts w:ascii="Times New Roman" w:hAnsi="Times New Roman"/>
          <w:color w:val="231F20"/>
          <w:sz w:val="20"/>
        </w:rPr>
        <w:t>has served as a member of our board of directors since November 2022. Dr. Liapis is a Principal at Northpond Ventures where he focuses on biotechnology platforms and therapeutics and leads Northpond’s newco incubation efforts with the Wyss Institute at Harvard and the School of Engineering at MIT. Dr. Liapis is a board director at Garuda Therapeutics, Incendia Therapeutics, Walking Fish Therapeutics, Totus Medicines, Opna Bio, and Aro Biotherapeutics, and is a board observer at Ori Biotech. Previously, Dr. Liapis was Director of Portfolio Decision Resources at Sanofi (Nasdaq: SNY), where he led global strategy and resource prioritization for Sanofi Oncology. Prior to Sanofi, Dr. Liapis was Head of Strategy at Arbor Biotechnologies and served in leadership positions at L.E.K.Consulting where he focused on research and development and commercial strategy for immuno-oncology as well as advanced therapeutic modalities including gene therapy, gene editing, and cell therapy. Dr. Liapis holds a Ph.D. in molecular biology from Harvard University where he trained in the laboratory of Dr. John Rinn, focusing on the discovery and molecular characterization of novel long noncoding RNAs (lncRNAs), as well as identifying the role of lncRNAs in disease pathogenesis. He also holds a Master’s Degree in genetics and plant biology from Yale University and an undergraduate degree in environmental science from Stockton College.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Dr. Liapis is qualified to serve on our board of directors because of his vast experience in biotechnology platforms and therapeutics and focus on the areas of global research and development and commercial strategy.</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Beth Seidenberg, M.D. </w:t>
      </w:r>
      <w:r>
        <w:rPr>
          <w:rFonts w:ascii="Times New Roman" w:hAnsi="Times New Roman"/>
          <w:color w:val="231F20"/>
          <w:sz w:val="20"/>
        </w:rPr>
        <w:t xml:space="preserve">has served as a member of our board of directors since September 2018. Dr. Seidenberg is a managing director of Westlake Village BioPartners, a venture capital firm she founded in September 2018. Since May 2005, Dr. Seidenberg has been a general partner at Kleiner Perkins Caufield &amp; Byers, LLC, a venture capital firm, where she has primarily focused on life sciences investing. Dr. Seidenberg was previously the Senior Vice President, Head of Global Development and Chief Medical Officer at Amgen, Inc. (Nasdaq: AMGN). In addition, Dr. Seidenberg was a senior executive in research and development at Bristol Myers Squibb Company (NYSE: BMY) and Merck &amp; Co., Inc. (NYSE: MRK). From February 2008 to September 2019, Dr. Seidenberg served as a director of Epizyme, Inc. Dr. Seidenberg served on the boards of directors of TESARO, Inc., ARMO BioSciences, Inc. and Atara Biotherapeutics, Inc. (Nasdaq; ATRA), from June 2011 to January 2019, December 2012 to June 2018 and August 2012 to June 2023, respectively. Dr. Seidenberg serves on the boards of directors of Vera Therapeutics, Inc. (Nasdaq: VERA), Progyny, Inc. (Nasdaq: PGNY) and several privately held life sciences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companies. Dr. Seidenberg holds a Bachelor of Arts degree in biology and anthropology from Barnard College and attended medical school at the University of Miami School of Medicine. She completed her medical residency at Johns Hopkins University and George Washington University, and Fellowship at the National Institutes of Health.</w:t>
      </w:r>
    </w:p>
    <w:p>
      <w:pPr>
        <w:pStyle w:val="TextBody"/>
        <w:bidi w:val="0"/>
        <w:jc w:val="left"/>
        <w:rPr>
          <w:rFonts w:ascii="Times New Roman" w:hAnsi="Times New Roman"/>
          <w:color w:val="231F20"/>
          <w:sz w:val="20"/>
        </w:rPr>
      </w:pPr>
      <w:r>
        <w:rPr>
          <w:rFonts w:ascii="Times New Roman" w:hAnsi="Times New Roman"/>
          <w:color w:val="231F20"/>
          <w:sz w:val="20"/>
        </w:rPr>
        <w:t>We believe Dr. Seidenberg is qualified to serve on our board of directors because of her training as a physician and her experience in the life sciences industry as a senior executive and venture capitalist who has incubated and invested in over twenty-five biotechnology ventures.</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Daniel K. Spiegelman </w:t>
      </w:r>
      <w:r>
        <w:rPr>
          <w:rFonts w:ascii="Times New Roman" w:hAnsi="Times New Roman"/>
          <w:color w:val="231F20"/>
          <w:sz w:val="20"/>
        </w:rPr>
        <w:t>has served as a member of our board of directors since April 2021. Mr. Spiegelman has over 25 years of Biotech finance experience. Mr. Spiegelman was most recently Chief Financial Officer and Executive Vice President of BioMarin Pharmaceutical Inc. (Nasdaq: BMRN), a biotechnology company focused on developing, manufacturing and commercializing treatments for rare genetic disorders, from 2012 to 2020. Mr. Spiegelman oversaw growth from $500M in revenues to $2.0B in revenues with sales in 70 countries and from $4B market cap to $15B. Prior to BioMarin, Mr. Spiegelman served as Chief Financial Officer and Senior Vice President of CV Therapeutics, Inc. for 11 years from 1998 through its sale in 2009 to Gilead Sciences, Inc. From July 1991 to January 1998, Mr. Spiegelman served in various roles at Genentech, Inc. (now a member of the Roche Group) most recently as Treasurer. Mr. Spiegelman currently provides consulting and board services to various life sciences companies. He currently serves as a member of the board of directors and audit committee chair of Myriad Genetics (Nasdaq: MYGN), Spruce Biosciences (Nasdaq: SPRB) and Opthea Limited (Nasdaq: OPT), and serves on the board of directors of several private biotechnology companies, including Tizona Therapeutics, Inc. and Maze Therapeutics Inc. Mr. Spiegelman also serves as venture partner at Samsara BioCapital. Mr. Spiegelman received his Master’s in Business Administration from the Stanford Graduate School of Business and a Bachelor’s in Economics from Stanford University.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Mr. Spiegelman is qualified to serve on our board of directors because of his important expertise in finance in the healthcare industry based on his extensive experience in several senior finance positions at</w:t>
      </w:r>
    </w:p>
    <w:p>
      <w:pPr>
        <w:pStyle w:val="TextBody"/>
        <w:bidi w:val="0"/>
        <w:jc w:val="left"/>
        <w:rPr>
          <w:rFonts w:ascii="Times New Roman" w:hAnsi="Times New Roman"/>
          <w:color w:val="231F20"/>
          <w:sz w:val="20"/>
        </w:rPr>
      </w:pPr>
      <w:r>
        <w:rPr>
          <w:rFonts w:ascii="Times New Roman" w:hAnsi="Times New Roman"/>
          <w:color w:val="231F20"/>
          <w:sz w:val="20"/>
        </w:rPr>
        <w:t>major pharmaceutical companies.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our executive officers as of March 25, 2024:</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4186"/>
        <w:gridCol w:w="146"/>
        <w:gridCol w:w="436"/>
        <w:gridCol w:w="146"/>
        <w:gridCol w:w="3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Name</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Age</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Position(s)</w:t>
            </w:r>
          </w:p>
        </w:tc>
      </w:tr>
      <w:tr>
        <w:trPr/>
        <w:tc>
          <w:tcPr>
            <w:tcW w:w="418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Peter Maag, Ph.D. . . . . . . . .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57</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21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Executive Officer and Director</w:t>
            </w:r>
          </w:p>
        </w:tc>
      </w:tr>
      <w:tr>
        <w:trPr/>
        <w:tc>
          <w:tcPr>
            <w:tcW w:w="4186"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Ryan Jones . . . . . . . . . . . . . . . . . . . . . . . . . . . . . . . . . </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37</w:t>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Financial Officer</w:t>
            </w:r>
          </w:p>
        </w:tc>
      </w:tr>
      <w:tr>
        <w:trPr/>
        <w:tc>
          <w:tcPr>
            <w:tcW w:w="418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Dominic Borie, M.D., Ph.D.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61</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21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Research and Development</w:t>
            </w:r>
          </w:p>
        </w:tc>
      </w:tr>
      <w:tr>
        <w:trPr/>
        <w:tc>
          <w:tcPr>
            <w:tcW w:w="4186"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James Chung, M.D., Ph.D. . . . . . . . . . . . . . . . . . . . . . </w:t>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56</w:t>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Medical Officer</w:t>
            </w:r>
          </w:p>
        </w:tc>
      </w:tr>
      <w:tr>
        <w:trPr/>
        <w:tc>
          <w:tcPr>
            <w:tcW w:w="418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Karen Walker . . . . . . . . . . . . . . . . . . . . . . . . . . . . . . .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36"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62</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3211" w:type="dxa"/>
            <w:tcBorders/>
            <w:shd w:fill="CFF0FC" w:val="cle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Technology Officer</w:t>
            </w:r>
          </w:p>
        </w:tc>
      </w:tr>
    </w:tbl>
    <w:p>
      <w:pPr>
        <w:pStyle w:val="TextBody"/>
        <w:bidi w:val="0"/>
        <w:spacing w:before="120" w:after="283"/>
        <w:jc w:val="left"/>
        <w:rPr>
          <w:rFonts w:ascii="Times New Roman" w:hAnsi="Times New Roman"/>
          <w:sz w:val="20"/>
        </w:rPr>
      </w:pPr>
      <w:r>
        <w:rPr>
          <w:rFonts w:ascii="Times New Roman" w:hAnsi="Times New Roman"/>
          <w:b/>
          <w:color w:val="231F20"/>
          <w:sz w:val="20"/>
        </w:rPr>
        <w:t xml:space="preserve">Peter Maag, Ph.D. </w:t>
      </w:r>
      <w:r>
        <w:rPr>
          <w:rFonts w:ascii="Times New Roman" w:hAnsi="Times New Roman"/>
          <w:color w:val="231F20"/>
          <w:sz w:val="20"/>
        </w:rPr>
        <w:t>B</w:t>
      </w:r>
      <w:r>
        <w:rPr>
          <w:rFonts w:ascii="Times New Roman" w:hAnsi="Times New Roman"/>
          <w:color w:val="000000"/>
          <w:sz w:val="20"/>
        </w:rPr>
        <w:t>iographical information regarding Dr. Maag is set forth above under “Board of Directors”</w:t>
      </w:r>
      <w:r>
        <w:rPr>
          <w:rFonts w:ascii="Times New Roman" w:hAnsi="Times New Roman"/>
          <w:color w:val="231F20"/>
          <w:sz w:val="20"/>
        </w:rPr>
        <w:t>.</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Ryan Jones </w:t>
      </w:r>
      <w:r>
        <w:rPr>
          <w:rFonts w:ascii="Times New Roman" w:hAnsi="Times New Roman"/>
          <w:color w:val="231F20"/>
          <w:sz w:val="20"/>
        </w:rPr>
        <w:t>has served as our Chief Financial Officer since January 2023. Mr. Jones joined Kyverna’s founding team in 2018 and brings extensive industry experience in healthcare and life sciences. Prior to joining Kyverna, Mr. Jones was on the New Business Creation team at GE Ventures, where he focused on launching and financing new companies in cell engineering and healthcare technologies. Before joining GE Ventures, Mr. Jones led the technical development and launch of multiple next-generation DNA sequencing products as a Staff Engineer at Thermo Fisher Scientific Inc. (Life Technologies, Ion Torrent division)(NYSE: TMO). Prior to that, he was a Staff Scientist on the founding team at Nanosense, a DARPA-funded biosensor company. Mr. Jones is a co-inventor on five issued patents in biosensors and DNA sequencing. He has also served as a Board Observer for multiple companies founded by GE Ventures, including Menlo Microsystems, Inc., Drawbridge Health (acquired by Thorne Health), and Evidation Health, Inc. Mr. Jones holds a Bachelor’s degree in Biophysics and History from the University of Pennsylvania and an MBA from Harvard Business School.</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Dominic Borie, M.D., Ph.D. </w:t>
      </w:r>
      <w:r>
        <w:rPr>
          <w:rFonts w:ascii="Times New Roman" w:hAnsi="Times New Roman"/>
          <w:color w:val="231F20"/>
          <w:sz w:val="20"/>
        </w:rPr>
        <w:t xml:space="preserve">has served as our President, Research and Development since October 2022. Prior to that, he served as our Chief Executive Officer and President and a member of our board of directors from January 2020 to October 2022. Dr. Borie is an accomplished immunologist and digestive tract and liver transplant surgeon with extensive experience in drug development. He joined Kyverna from Horizon Therapeutics Public Ltd Co. (Nasdaq: HZNP), where he served as Vice-President and Head, External Research and Development. From 2005 through 2018, Dr. Borie held leadership positions at Genentech, Inc., Amgen Inc. (Nasdaq: AMGN),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Roche Holding AG. While at Genentech, Dr. Borie was Senior Medical Director in the Product Development Immunology group where he contributed to the design, implementation and monitoring of global clinical trials for inflammation-related diseases such as inflammatory bowel diseases. During the latter part of his tenure at Genentech, Dr. Borie was Associate Group Medical Director, Global Head of Anti-CD20 Immunology and filed two sBLAs leading to new indications for Rituxan® in orphan diseases (pemphigus vulgaris and granulomatosis with polyangiitis). Dr. Borie joined Genentech from Amgen where he served as Medical Director and Global Development Leader for Inflammation. He started his career in industry at Roche as Director of Transplantation Research before transitioning to Translational Medicine roles for immune diseases. Prior to the transition to industry, Dr. Borie was in academia at Stanford University as the Director, Transplantation Immunology Laboratory. During this time, Dr. Borie was a key contributor to the validation of JAK inhibition as a new immunomodulatory approach, culminating in the approval of a new molecule for rheumatoid arthritis patients. Dr. Borie was previously a digestive surgery and liver transplantation attending surgeon at Pitie-Salpetriere Hospital, Assistance Publique in Paris, France. Dr. Borie has an extensive publication history with over 50 publications in peer-reviewed journals, 10 book chapters, and four issued patents. Dr. Borie received his Ph.D. in transplantation immunology from the University of Paris V – Descartes and his M.D., Master’s degree in Immunology, and Certificate of Immunology and Immunopathology from the University of Paris XII.</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James Chung, M.D., Ph.D. </w:t>
      </w:r>
      <w:r>
        <w:rPr>
          <w:rFonts w:ascii="Times New Roman" w:hAnsi="Times New Roman"/>
          <w:color w:val="231F20"/>
          <w:sz w:val="20"/>
        </w:rPr>
        <w:t>has served as our Chief Medical Officer since April 2021. Dr. Chung brings extensive biopharmaceutical industry experience working across the entire drug development process focused on autoimmune diseases. He has dedicated a significant part of his career working in translational medicine and early development. Dr. Chung joined Kyverna from Amgen Inc. (Nasdaq: AMGN), where he most recently was Executive Medical Director, head of Inflammation and Neuroscience, Global Medical Organization, and Global Development Leader for Enbrel®. He joined Amgen in 2004 in Medical Sciences/Early Development advancing inflammation programs from first-in-human to proof-of-concept, eventually serving as the Early Development Inflammation Therapeutic Area Head leading a team of physician-scientists, biomarker scientists, and clinical study managers. In 2013, he transitioned to late-stage Global Development and then in 2015 to Amgen’s Global Medical Organization where he held numerous positions of increasing responsibility, including therapeutic area head for Inflammation, Nephrology, and Neuroscience, where he was responsible for the development and execution of medical strategies for a portfolio of marketed drugs and near-launch molecules. Prior to Amgen, Dr. Chung began his industry career as an Associate Director in Clinical Sciences at Pfizer Inc. (NYSE: PFE), where he served as the Early Clinical Leader for several early development programs in inflammation. Prior to joining industry, Dr. Chung was Instructor of Medicine in the Division of Rheumatology at the University of Pennsylvania where he also completed his residency in Internal Medicine and fellowship in Rheumatology. He obtained his M.D. and Ph.D. in Immunology at the University of Pennsylvania and BA in Biology at Harvard College.</w:t>
      </w:r>
    </w:p>
    <w:p>
      <w:pPr>
        <w:pStyle w:val="TextBody"/>
        <w:bidi w:val="0"/>
        <w:spacing w:before="120" w:after="283"/>
        <w:jc w:val="left"/>
        <w:rPr>
          <w:rFonts w:ascii="Times New Roman" w:hAnsi="Times New Roman"/>
          <w:sz w:val="20"/>
        </w:rPr>
      </w:pPr>
      <w:r>
        <w:rPr>
          <w:rFonts w:ascii="Times New Roman" w:hAnsi="Times New Roman"/>
          <w:b/>
          <w:color w:val="231F20"/>
          <w:sz w:val="20"/>
        </w:rPr>
        <w:t xml:space="preserve">Karen Walker </w:t>
      </w:r>
      <w:r>
        <w:rPr>
          <w:rFonts w:ascii="Times New Roman" w:hAnsi="Times New Roman"/>
          <w:color w:val="231F20"/>
          <w:sz w:val="20"/>
        </w:rPr>
        <w:t xml:space="preserve">has served as our Chief Technology Officer since September 2021. Ms. Walker has broad and deep industry experience developing biopharmaceuticals and cell and gene therapy, or CGT, products. She brings extensive and pioneering expertise in the product development, manufacturing, and supply of cell-based therapies and associated analytics. Ms. Walker has several decades of biotech industry experience, holding positions in Technical Development, Regulatory Affairs, and Quality at a number of companies including Roche Holding AG (SIX: ROG), Genentech, Inc., Seagen Inc., formerly Seattle Genetics (Nasdaq: SGEN), Novartis AG (NYSE: NVS, SIX: NOVN), Amgen Inc. (Nasdaq: AMGN), Bayer AG (FWB: BAYN), Bristol-Myers Squibb Co (NYSE: BMY), and several other small to mid-sized biotech companies. Prior to joining Kyverna, Ms. Walker was a Senior Advisor, Cell and Gene Therapy Manufacturing at Roche/Genentech from 2019 to 2021. In this position, she was instrumental in developing and implementing the strategy for CGT manufacturing and controls into the Roche/Genentech organization. Prior to Roche/Genentech, Ms. Walker was Vice President of Global Quality at Seagen Inc., where she oversaw and directed the Global Quality Organization in the United States and Europe from 2017 to 2019. Previously, she was Vice President and Global Head of Cell and Gene Therapy Technical Development and Manufacturing for Novartis’ CGT Unit from 2016 to 2017. There, she led the Chemistry, Manufacturing, and Controls teams through the formation of the strategies and execution of those strategies to develop KYMRIAH® (tisagenlecleucel) through the pivotal trial stage and to filing of the first CAR-T Biologics License Application in pediatric acute lymphoblastic leukemia. During her time at Novartis and continuing to the present, Ms. Walker has been a strong and leading voice in the establishment of industry standardization and contributed to influence emerging regulatory guidance in the area of CGT products globally. Ms. Walker holds a Bachelor’s degree from St. Olaf College. She is a member of numerous pharmaceutical industry trade organizations, including the Alliance for Regenerative Medicines Cell Therapy Manufacturing Committee, DeLoitte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Working Group for Advanced Therapy Medicinal Products, or ATMPs, Parenteral Drug Association, or PDA, PDA Biologics Advisory Board, where she was vice chair from 2018 to 2020, and the PDA ATMP Working Group.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family relationships between or among any of our executive officers or directors.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Legal Proceedings with Directors or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legal proceedings related to any of our directors or executive officers that require disclosure pursuant to Items 103 or 401(f) of Regulation 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that applies to all of our employees, officers and directors, including those officers responsible for financial reporting. The code of business conduct and ethics is available on our website at https://kyvernatx.com/. We intend to disclose any amendments to the code, or any waivers of its requirements, on our website to the extent required by the applicable rules and exchange requirements. The inclusion of our website address in this Annual Report on Form 10-K does not incorporate by reference the information on or accessible through our website into this Annual Report on Form 10-K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material changes have been made to the procedures by which security holders may recommend nominees to our board of directors from those that were described in our final prospectus filed pursuant to Rule 424(b)(4) under the Securities Act with the SEC on February 8,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separately designated standing Audit Committee established in accordance with Section 3(a)(58)(A) of the Exchange Act. Our Audit Committee is currently comprised of Daniel K. Spiegelman, Brian Kotzin, M.D. and Steve Liapis, Ph.D., with Mr. Spiegelman serving as Chairperson of the Audit Committee.</w:t>
      </w:r>
    </w:p>
    <w:p>
      <w:pPr>
        <w:pStyle w:val="TextBody"/>
        <w:bidi w:val="0"/>
        <w:jc w:val="left"/>
        <w:rPr>
          <w:rFonts w:ascii="Times New Roman" w:hAnsi="Times New Roman"/>
          <w:color w:val="000000"/>
          <w:sz w:val="20"/>
        </w:rPr>
      </w:pPr>
      <w:r>
        <w:rPr>
          <w:rFonts w:ascii="Times New Roman" w:hAnsi="Times New Roman"/>
          <w:color w:val="000000"/>
          <w:sz w:val="20"/>
        </w:rPr>
        <w:t>Our board of directors has determined that each member of the Audit Committee is “independent” and “financially literate” under the rules of The Nasdaq Stock Market LLC, or Nasdaq, and the SEC and that Mr. Spiegelman is an “audit committee financial expert” under the rules of the SEC. Both our independent registered public accounting firm and internal financial personnel regularly meet privately with our Audit Committee and have unrestricted access to the Audit Committee. The information under the heading “Board Independence” in Item 13 below is incorporated herein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16(a) of the Exchange Act requires the Company’s directors and certain officers, as well as persons who beneficially own more than 10% of the outstanding shares of our common stock, to file reports regarding their initial stock ownership and subsequent changes to their ownership with the SEC. As of the fiscal year ended December 31, 2023, we did not have a class of equity securities registered pursuant to Section 12 of the Exchange Act. Our directors, officers who are now subject to Section 16(a) of the Exchange Act, and persons who beneficially own more than 10% of the outstanding shares of our common stock became subject to Section 16(a) of the Exchange Act on February 7, 2024 and had an obligation to file initial statements of ownership on Form 3 on that date. Due to an unexpected delay by the financial printer, the initial statement of ownership on Form 3 for Dr. Liapis, one of our directors, was filed on February 8, 2024.</w:t>
      </w:r>
    </w:p>
    <w:p>
      <w:pPr>
        <w:pStyle w:val="TextBody"/>
        <w:bidi w:val="0"/>
        <w:spacing w:before="360" w:after="283"/>
        <w:jc w:val="left"/>
        <w:rPr>
          <w:rFonts w:ascii="Times New Roman" w:hAnsi="Times New Roman"/>
          <w:b/>
          <w:color w:val="000000"/>
          <w:sz w:val="20"/>
        </w:rPr>
      </w:pPr>
      <w:bookmarkStart w:id="19" w:name="item_11_executive_compensation"/>
      <w:bookmarkEnd w:id="1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named executive officers for the year ended December 31, 2023, are:</w:t>
      </w:r>
    </w:p>
    <w:p>
      <w:pPr>
        <w:pStyle w:val="TextBody"/>
        <w:bidi w:val="0"/>
        <w:spacing w:before="120" w:after="283"/>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Peter Maag, Ph.D., our Chief Executive Officer;</w:t>
      </w:r>
    </w:p>
    <w:p>
      <w:pPr>
        <w:pStyle w:val="TextBody"/>
        <w:bidi w:val="0"/>
        <w:spacing w:before="120" w:after="283"/>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James Chung, M.D., Ph.D. our Chief Medical Officer; and</w:t>
      </w:r>
    </w:p>
    <w:p>
      <w:pPr>
        <w:pStyle w:val="TextBody"/>
        <w:bidi w:val="0"/>
        <w:spacing w:before="120" w:after="283"/>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Karen Walker, our Chief Technology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83"/>
        <w:jc w:val="left"/>
        <w:rPr>
          <w:rFonts w:ascii="Times New Roman" w:hAnsi="Times New Roman"/>
          <w:sz w:val="20"/>
        </w:rPr>
      </w:pPr>
      <w:r>
        <w:rPr>
          <w:rFonts w:ascii="Times New Roman" w:hAnsi="Times New Roman"/>
          <w:color w:val="231F20"/>
          <w:sz w:val="20"/>
        </w:rPr>
        <w:t>The following table sets forth certain information with respect to the compensation paid to our named executive officers for the fiscal year ended December 31, 2023:</w:t>
      </w: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2289"/>
        <w:gridCol w:w="146"/>
        <w:gridCol w:w="146"/>
        <w:gridCol w:w="526"/>
        <w:gridCol w:w="146"/>
        <w:gridCol w:w="146"/>
        <w:gridCol w:w="146"/>
        <w:gridCol w:w="781"/>
        <w:gridCol w:w="146"/>
        <w:gridCol w:w="146"/>
        <w:gridCol w:w="146"/>
        <w:gridCol w:w="781"/>
        <w:gridCol w:w="146"/>
        <w:gridCol w:w="146"/>
        <w:gridCol w:w="146"/>
        <w:gridCol w:w="931"/>
        <w:gridCol w:w="146"/>
        <w:gridCol w:w="146"/>
        <w:gridCol w:w="234"/>
        <w:gridCol w:w="1087"/>
        <w:gridCol w:w="263"/>
        <w:gridCol w:w="146"/>
        <w:gridCol w:w="146"/>
        <w:gridCol w:w="931"/>
        <w:gridCol w:w="192"/>
      </w:tblGrid>
      <w:tr>
        <w:trP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Name and principal position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Year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Salary</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Bonus</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Option</w:t>
            </w:r>
          </w:p>
          <w:p>
            <w:pPr>
              <w:pStyle w:val="TableContents"/>
              <w:bidi w:val="0"/>
              <w:jc w:val="center"/>
              <w:rPr>
                <w:rFonts w:ascii="Times New Roman" w:hAnsi="Times New Roman"/>
                <w:b/>
                <w:color w:val="000000"/>
                <w:sz w:val="19"/>
              </w:rPr>
            </w:pPr>
            <w:r>
              <w:rPr>
                <w:rFonts w:ascii="Times New Roman" w:hAnsi="Times New Roman"/>
                <w:b/>
                <w:color w:val="000000"/>
                <w:sz w:val="19"/>
              </w:rPr>
              <w:t>awards</w:t>
            </w:r>
          </w:p>
          <w:p>
            <w:pPr>
              <w:pStyle w:val="TableContents"/>
              <w:bidi w:val="0"/>
              <w:spacing w:before="0" w:after="283"/>
              <w:jc w:val="center"/>
              <w:rPr>
                <w:rFonts w:ascii="Times New Roman" w:hAnsi="Times New Roman"/>
                <w:sz w:val="19"/>
              </w:rPr>
            </w:pPr>
            <w:r>
              <w:rPr>
                <w:rFonts w:ascii="Times New Roman" w:hAnsi="Times New Roman"/>
                <w:b/>
                <w:color w:val="000000"/>
                <w:sz w:val="19"/>
              </w:rPr>
              <w:t>($)</w:t>
            </w:r>
            <w:r>
              <w:rPr>
                <w:rFonts w:ascii="Times New Roman" w:hAnsi="Times New Roman"/>
                <w:b/>
                <w:color w:val="000000"/>
                <w:sz w:val="13"/>
              </w:rPr>
              <w:t>(1)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All Other</w:t>
              <w:br/>
              <w:t>Compensation</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Total</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Peter Maag,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23,617</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2,264,189</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James Chung,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1,166,122</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Medical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Karen Walker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1,082,144</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Technology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7" w:type="dxa"/>
            <w:tcBorders/>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sz w:val="20"/>
        </w:rPr>
      </w:pPr>
      <w:r>
        <w:rPr>
          <w:rFonts w:ascii="Times New Roman" w:hAnsi="Times New Roman"/>
          <w:color w:val="231F20"/>
          <w:sz w:val="20"/>
        </w:rPr>
        <w:t>(1) The amounts in this column represent the aggregate grant date fair value of the option awards computed in accordance with Accounting Standards Codification Topic 718. Assumptions used in the calculation of these amounts are included in Note 10 to our audited condensed financial statements and related notes included in Part II, Item 8 of this Annual Report on Form 10-K. These amounts do not reflect the actual economic value that will be realized by the</w:t>
      </w:r>
      <w:r>
        <w:rPr>
          <w:rFonts w:ascii="Times New Roman" w:hAnsi="Times New Roman"/>
          <w:color w:val="000000"/>
          <w:sz w:val="20"/>
        </w:rPr>
        <w:t xml:space="preserve"> </w:t>
      </w:r>
      <w:r>
        <w:rPr>
          <w:rFonts w:ascii="Times New Roman" w:hAnsi="Times New Roman"/>
          <w:color w:val="231F20"/>
          <w:sz w:val="20"/>
        </w:rPr>
        <w:t>named executive officer upon the vesting of the stock options, the exercise of the stock options or the sale of the common stock underlying such stock options.</w:t>
      </w:r>
    </w:p>
    <w:p>
      <w:pPr>
        <w:pStyle w:val="TextBody"/>
        <w:bidi w:val="0"/>
        <w:jc w:val="left"/>
        <w:rPr>
          <w:rFonts w:ascii="Times New Roman" w:hAnsi="Times New Roman"/>
          <w:color w:val="231F20"/>
          <w:sz w:val="20"/>
        </w:rPr>
      </w:pPr>
      <w:r>
        <w:rPr>
          <w:rFonts w:ascii="Times New Roman" w:hAnsi="Times New Roman"/>
          <w:color w:val="231F20"/>
          <w:sz w:val="20"/>
        </w:rPr>
        <w:t>(2) Comprised solely of insurance benefits paid by us on behalf of the named executive officer.</w:t>
      </w:r>
    </w:p>
    <w:p>
      <w:pPr>
        <w:pStyle w:val="TextBody"/>
        <w:bidi w:val="0"/>
        <w:jc w:val="left"/>
        <w:rPr>
          <w:rFonts w:ascii="Times New Roman" w:hAnsi="Times New Roman"/>
          <w:color w:val="231F20"/>
          <w:sz w:val="20"/>
        </w:rPr>
      </w:pPr>
      <w:r>
        <w:rPr>
          <w:rFonts w:ascii="Times New Roman" w:hAnsi="Times New Roman"/>
          <w:color w:val="231F20"/>
          <w:sz w:val="20"/>
        </w:rPr>
        <w:t>(3) Comprised of $29,101 of insurance benefits paid by us on behalf of Dr. Chung and $61,542 of temporary housing and relocation expenses reimbursed by us to Dr. Chung.</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Employment Arrangements</w:t>
      </w:r>
    </w:p>
    <w:p>
      <w:pPr>
        <w:pStyle w:val="TextBody"/>
        <w:bidi w:val="0"/>
        <w:spacing w:before="120" w:after="283"/>
        <w:jc w:val="left"/>
        <w:rPr>
          <w:rFonts w:ascii="Times New Roman" w:hAnsi="Times New Roman"/>
          <w:sz w:val="20"/>
        </w:rPr>
      </w:pPr>
      <w:r>
        <w:rPr>
          <w:rFonts w:ascii="Times New Roman" w:hAnsi="Times New Roman"/>
          <w:color w:val="231F20"/>
          <w:sz w:val="20"/>
        </w:rPr>
        <w:t>Below are descriptions of employment offer letters with our named executive officers. For a discussion of the severance pay and other benefits to be provided in connection with a termination of employment and/or a change in control of the Company under the arrangements with our executive officers, see the subsection titled “—Potential Payments upon Termination or Change in Control” below.</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Peter Maag, Ph.D.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October 2022, we entered into an offer letter with Dr. Maag, or the Maag Offer Letter, which provides for at-will employment as our Chief Executive Officer with an initial base salary of $450,000 per year, a discretionary annual target bonus equal to 50% of his annual base salary and the grant of a non-statutory option to purchase shares of our common stock at the fair market value as determined by our board of directors as of the date of grant, with the number of shares to be equal to approximately 6.5% of our fully-diluted capitalization as of the date of grant. In accordance with the Maag Offer Letter, on November 22, 2022, we granted to Dr. Maag an option to purchase an aggregate of 1,397,285 shares of our common stock pursuant to the 2019 Plan, with an exercise price of $3.15 per share, or the Initial Option, with the following vesting schedule: 25% of the shares subject to the Initial Option vest on October 13, 2023, the 12-month anniversary of Dr. Maag’s start date, and the balance vest in equal monthly installments over the following 36 months, subject to Dr. Maag’s Continuous Service (as defined in the 2019 Plan) as of each vesting date. The Initial Option has an early exercise feature whereby it was immediately exercisable in full, as to the both the vested and unvested shares subject to the Initial Option, with any shares of common stock issued upon an early exercise that have not yet vested subject to repurchase by us in the event of termination of Dr. Maag’s Continuous Service. We also agreed to pay or reimburse Dr. Maag for up to $5,000 for legal and tax-related fees incurred in negotiating and drafting the Maag Offer Letter and promissory note (described below).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Maag Offer Letter also provides that Dr. Maag may pay up to 50% of the aggregate exercise price of the Initial Option with a promissory note on terms approved by our board of directors. In accordance with this provision in the Maag Offer Letter, on December 28, 2022, Dr. Maag early exercised 349,321 shares of our common stock subject to the Initial Option in exchange for a partial recourse promissory note receivable in an aggregate principal amount of $1.1 million. On January 12, 2024, we forgave the promissory note in full, which includes the outstanding principal amount and interest through that date. The promissory note bore interest of 4.27% per annum and was due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December 2027 but would have become immediately due and payable upon the occurrence of certain events, including upon a change of control of our company or on the date prior to the filing of a registration statement by us in connection with an initial public offering.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January 1, 2024, Dr. Maag’s base salary was increased to $550,000 per year and his discretionary annual target bonus was increased to equal to 55% of his annual base salary.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James Chung, M.D., Ph.D.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March 2021, we entered into an offer letter with Dr. Chung, or the Chung Offer Letter, which provides for at-will employment as our Senior Vice President, Chief Medical Officer, with an initial base salary of $375,000 per year, an annual target bonus equal to 35% of his annual base salary, a one-time sign-on/retention bonus of $30,000 granted on the condition that Dr. Chung remain employed by us through the two-year anniversary of his start date, as well as grant of an option to purchase 98,877 shares of our common stock. In accordance with the Chung Offer Letter, on April 27, 2021, we granted to Dr. Chung an option to purchase an aggregate of 98,877 shares of our common stock with an exercise price of $3.37 per share, which is subject to the following vesting schedule: 25% of the shares subject to the option vested on April 12, 2022 and the balance vest in equal monthly installments over the following 36 months of his Continuous Service (as defined in the 2019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Chung Offer Letter also provides for reimbursement of moving expenses related to Dr. Chung’s relocation to the San Francisco Bay Area in the amount up to $40,000 payable in 2023, 30 days of housing allowance for temporary living up to approximately $3,500 per month on the condition that he remain employed by us through the two-year anniversary of his start date, as well as payment for the travel and lodging expenses related to his presence at our headquarter offices from his start date through his relocation date, capped at $3,500 per month.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January 1, 2024, Dr. Chung’s base salary was increased to $440,000 per year and his discretionary annual target bonus was increased to equal to 40% of his annual base salary.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Karen Walker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July 2021, we entered into an offer letter with Ms. Walker, or the Walker Offer Letter, which provides for at-will employment as our Senior Vice President, Chief Technology Officer, with an initial base salary of $370,000 per year, an annual target bonus equal to 35% of her annual base salary and grant of an option to purchase 92,285 shares of our common stock. In accordance with the Walker Offer Letter, on November 18, 2021, we granted to Ms. Walker an option to purchase an aggregate of 92,285 shares of our common stock with an exercise price of $4.42 per share, which is subject to the following vesting schedule: 25% of the shares subject to the option vested on September 13, 2022 and the balance vest in equal monthly installments over the following 36 months of her Continuous Service (as defined in the 2019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Walker Offer Letter also provides for reimbursement of expenses related to her travel to our headquarter offices on a regular basis to perform her duties in person.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January 1, 2024, Ms. Walker’s base salary was increased to $440,000 per year and her discretionary annual target bonus was increased to equal to 40% of her annual base salary.</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Potential Payments Upon Termination or Change in Control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Peter Maag, Ph.D.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Maag Offer Letter provides that if we terminate Dr. Maag’s employment for Cause (as defined in the Maag Offer Letter) at any time, if he resigns without Good Reason (as defined in the Maag Offer Letter) or if his employment terminates as a result of his death or disability, he will receive his base salary accrued through his last day of employment but will not be entitled to any other form of compensation from the Company, including severance benefits. If the Company terminates Dr. Maag’s employment without Cause or he resigns for Good Reason and other than as a result of his death or disability, and provided such termination constitutes a “separation from service” (as defined under Treasury Regulation Section 1.409A-1(h)), then, subject to his obligations set forth in the Maag Offer Letter, he will be entitled to receive (i) 12 months of his then-current base salary and (ii) COBRA premiums until the earliest of (A) the end of the 12-month period following the termination of his employment, (B) the expiration of his eligibility for the continuation coverage under COBRA and(C) the date he becomes eligible for substantially equivalent health insurance coverage in connection with new employment. In addition, if a Change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Control(as defined in the Maag Offer Letter)occurs, the Initial Option (including for this purpose any unvested shares of our common stock issued upon exercise of the Initial Option) shall vest in full, subject to Dr. Maag’s Continuous Service through and including the date on which the Change in Control is consummated.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James Chung, M.D., Ph.D.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Chung Offer Letter provides that if the Company terminates Dr. Chung’s employment for Cause (as defined in the Chung Offer Letter), if he resigns without Good Reason (as defined in the Chung Offer Letter) or if his employment terminates as a result of his death or disability, he will receive his base salary accrued through his last day of employment but will not be entitled to any other form of compensation from the Company, including severance benefits. If, outside of a CIC Period (as defined in the Chung Offer Letter), the Company terminates Dr. Chung’s employment without Cause or he resigns for Good Reason and other than as a result of his death or disability, and provided such termination constitutes a “separation from service” (as defined under Treasury Regulation Section 1.409A-1(h)), then, subject to his obligations set forth in the Chung Offer Letter, he will be entitled to receive (i) three months of his then-current base salary and (ii) COBRA premiums until the earliest of (A) the end of the three-month period following the termination of his employment, (B) the expiration of his eligibility for the continuation coverage under COBRA and (C) the date he becomes eligible for substantially equivalent health insurance coverage in connection with new employment. If, within a CIC Period, the Company terminates Dr. Chung’s employment without Cause or he resigns for Good Reason and other than as a result of his death or disability, and provided such termination constitutes a “separation from service,” then, subject to his obligations set forth in the Chung Offer Letter, he will be entitled to receive (1) six months of his then-current base salary, (ii) COBRA premiums until the earliest of (A) the end of the six-month period following the termination of his employment, (B) the expiration of his eligibility for the continuation coverage under COBRA and (C) the date he becomes eligible for substantially equivalent health insurance coverage in connection with new employment and (iii) accelerated vesting of any of his then-outstanding options such that, as of the date of his employment termination, he will be deemed to have vested in those shares that would have vested on the 12-month anniversary of his employment termination.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Karen Walker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Walker Offer Letter provides that if, at any time, the Company terminates Ms. Walker’s employment for Cause (as defined in the Walker Offer Letter), if she resigns without Good Reason (as defined in the Walker Offer Letter) or if her employment terminates as a result of her death or disability, she will receive her base salary accrued through her last day of employment but will not be entitled to any other form of compensation from the Company, including severance benefits. If, outside of a CIC Period (as defined in the Walker Offer Letter), the Company terminates Ms. Walker’s employment without Cause or she resigns for Good Reason and other than as a result of her death or disability, and provided such termination constitutes a “separation from service” (as defined under Treasury Regulation Section 1.409A-1(h)), then, subject to her obligations set forth in the Walker Offer Letter, she will be entitled to receive (i) three months of her then-current base salary and (ii) COBRA premiums until the earliest of (A) the end of the three-month period following the termination of her employment, (B) the expiration of her eligibility for the continuation coverage under COBRA and (C) the date she becomes eligible for substantially equivalent health insurance coverage in connection with new employment. If, within a CIC Period, the Company terminates Ms. Walker’s employment without Cause or she resigns for Good Reason and other than as a result of her death or disability, and provided such termination constitutes a “separation from service,” then, subject to her obligations set forth in the Walker Offer Letter, she will be entitled to receive (1) six months of her then-current base salary, (ii) COBRA premiums until the earliest of (A) the end of the six-month period following the termination of her employment, (B) the expiration of her eligibility for the continuation coverage under COBRA and (C) the date she becomes eligible for substantially equivalent health insurance coverage in connection with new employment and (iii)accelerated vesting of any of her then-outstanding options such that, as of the date of her employment termination, she will be deemed to have vested in those shares that would have vested on the 12-month anniversary of her employment termination.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Perquisites, Health, Welfare and Retirement Plans and Benefits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All of our named executive officers are eligible to participate in our employee benefit plans offered to similarly situated employees of the Company, including medical, dental, vision, disability, life insurance and 401(k) plans. We generally do not provide perquisites or personal benefits to our named executive officers, except in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circumstances. Our board of directors may elect to adopt qualified or non-qualified benefit plans in the future if it determines that doing so is in our best interests.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Fiscal Year-End 2023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presents certain information concerning outstanding equity awards held by each of our named executive officers at December 31, 2023:</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878"/>
        <w:gridCol w:w="146"/>
        <w:gridCol w:w="146"/>
        <w:gridCol w:w="855"/>
        <w:gridCol w:w="385"/>
        <w:gridCol w:w="146"/>
        <w:gridCol w:w="300"/>
        <w:gridCol w:w="961"/>
        <w:gridCol w:w="146"/>
        <w:gridCol w:w="146"/>
        <w:gridCol w:w="202"/>
        <w:gridCol w:w="837"/>
        <w:gridCol w:w="146"/>
        <w:gridCol w:w="146"/>
        <w:gridCol w:w="211"/>
        <w:gridCol w:w="1006"/>
        <w:gridCol w:w="146"/>
        <w:gridCol w:w="146"/>
        <w:gridCol w:w="231"/>
        <w:gridCol w:w="499"/>
        <w:gridCol w:w="146"/>
        <w:gridCol w:w="146"/>
        <w:gridCol w:w="146"/>
        <w:gridCol w:w="892"/>
        <w:gridCol w:w="196"/>
      </w:tblGrid>
      <w:tr>
        <w:trPr/>
        <w:tc>
          <w:tcPr>
            <w:tcW w:w="1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3" w:type="dxa"/>
            <w:gridSpan w:val="6"/>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0"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38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w:t>
              <w:br/>
              <w:t>Commencement</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w:t>
              <w:br/>
              <w:t>Underlying</w:t>
              <w:br/>
              <w:t>Unexercised</w:t>
              <w:br/>
              <w:t>Options (#)</w:t>
              <w:br/>
              <w:t>Exercisable</w:t>
            </w:r>
            <w:r>
              <w:rPr>
                <w:rFonts w:ascii="Times New Roman" w:hAnsi="Times New Roman"/>
                <w:b/>
                <w:color w:val="000000"/>
                <w:sz w:val="11"/>
              </w:rPr>
              <w:t>(2)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w:t>
              <w:br/>
              <w:t>Underlying</w:t>
              <w:br/>
              <w:t>Unexercised</w:t>
              <w:br/>
              <w:t>Options (#)</w:t>
              <w:br/>
              <w:t>Unexercisable</w:t>
            </w:r>
            <w:r>
              <w:rPr>
                <w:rFonts w:ascii="Times New Roman" w:hAnsi="Times New Roman"/>
                <w:b/>
                <w:color w:val="000000"/>
                <w:sz w:val="11"/>
              </w:rPr>
              <w:t>(2)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Maag,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11/22/2022</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11/21/2032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7/13/2023</w:t>
            </w:r>
          </w:p>
        </w:tc>
        <w:tc>
          <w:tcPr>
            <w:tcW w:w="3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7/12/2033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11/6/2023</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Chung,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4/27/2021</w:t>
            </w:r>
          </w:p>
        </w:tc>
        <w:tc>
          <w:tcPr>
            <w:tcW w:w="3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32,959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4/26/2031</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7/13/2023</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7/12/2033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11/6/2023</w:t>
            </w:r>
          </w:p>
        </w:tc>
        <w:tc>
          <w:tcPr>
            <w:tcW w:w="3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Karen Walker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11/18/2021</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11/17/2031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7/13/2023</w:t>
            </w:r>
          </w:p>
        </w:tc>
        <w:tc>
          <w:tcPr>
            <w:tcW w:w="3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7/12/2033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11/6/2023</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color w:val="231F20"/>
          <w:sz w:val="20"/>
        </w:rPr>
      </w:pPr>
      <w:r>
        <w:rPr>
          <w:rFonts w:ascii="Times New Roman" w:hAnsi="Times New Roman"/>
          <w:color w:val="231F20"/>
          <w:sz w:val="20"/>
        </w:rPr>
        <w:t>(1) All of the option awards were granted under the 2019 Plan.</w:t>
      </w:r>
    </w:p>
    <w:p>
      <w:pPr>
        <w:pStyle w:val="TextBody"/>
        <w:bidi w:val="0"/>
        <w:jc w:val="left"/>
        <w:rPr>
          <w:rFonts w:ascii="Times New Roman" w:hAnsi="Times New Roman"/>
          <w:color w:val="231F20"/>
          <w:sz w:val="20"/>
        </w:rPr>
      </w:pPr>
      <w:r>
        <w:rPr>
          <w:rFonts w:ascii="Times New Roman" w:hAnsi="Times New Roman"/>
          <w:color w:val="231F20"/>
          <w:sz w:val="20"/>
        </w:rPr>
        <w:t>(2) This option is exercisable immediately subject to a repurchase right in favor of the Company which lapses as the option vests. Accordingly, the “Number of Securities Underlying Unexercised Options Unexercisable” column reflects the number of options held by the named executive officer that were outstanding, exercisable and unvested as of December 31, 2023.</w:t>
      </w:r>
    </w:p>
    <w:p>
      <w:pPr>
        <w:pStyle w:val="TextBody"/>
        <w:bidi w:val="0"/>
        <w:jc w:val="left"/>
        <w:rPr>
          <w:rFonts w:ascii="Times New Roman" w:hAnsi="Times New Roman"/>
          <w:color w:val="231F20"/>
          <w:sz w:val="20"/>
        </w:rPr>
      </w:pPr>
      <w:r>
        <w:rPr>
          <w:rFonts w:ascii="Times New Roman" w:hAnsi="Times New Roman"/>
          <w:color w:val="231F20"/>
          <w:sz w:val="20"/>
        </w:rPr>
        <w:t>(3) 25% of the shares originally subject to the option will vest one year after the vesting commencement date, and 1/48th of the shares originally subject to the option vested or vest monthly thereafter subject to Dr. Maag’s continued service to the company through each vesting date. Upon a Change in Control (as defined in the Maag Offer Letter), the vesting of any then-unvested, unexercised and outstanding portion of the option (or then-unvested and outstanding shares issued upon exercise of the option) will become fully vested.</w:t>
      </w:r>
    </w:p>
    <w:p>
      <w:pPr>
        <w:pStyle w:val="TextBody"/>
        <w:bidi w:val="0"/>
        <w:jc w:val="left"/>
        <w:rPr>
          <w:rFonts w:ascii="Times New Roman" w:hAnsi="Times New Roman"/>
          <w:color w:val="231F20"/>
          <w:sz w:val="20"/>
        </w:rPr>
      </w:pPr>
      <w:r>
        <w:rPr>
          <w:rFonts w:ascii="Times New Roman" w:hAnsi="Times New Roman"/>
          <w:color w:val="231F20"/>
          <w:sz w:val="20"/>
        </w:rPr>
        <w:t>(4) 25% of the shares originally subject to the option vested one year after the vesting commencement date, and</w:t>
      </w:r>
    </w:p>
    <w:p>
      <w:pPr>
        <w:pStyle w:val="TextBody"/>
        <w:bidi w:val="0"/>
        <w:jc w:val="left"/>
        <w:rPr>
          <w:rFonts w:ascii="Times New Roman" w:hAnsi="Times New Roman"/>
          <w:color w:val="231F20"/>
          <w:sz w:val="20"/>
        </w:rPr>
      </w:pPr>
      <w:r>
        <w:rPr>
          <w:rFonts w:ascii="Times New Roman" w:hAnsi="Times New Roman"/>
          <w:color w:val="231F20"/>
          <w:sz w:val="20"/>
        </w:rPr>
        <w:t>1/48th of the shares originally subject to the option vested or vest monthly thereafter subject to the named executive officer’s continued service to the Company through each vesting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Benefit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Equity Incentive Plan</w:t>
      </w:r>
    </w:p>
    <w:p>
      <w:pPr>
        <w:pStyle w:val="TextBody"/>
        <w:bidi w:val="0"/>
        <w:spacing w:before="120" w:after="283"/>
        <w:jc w:val="left"/>
        <w:rPr>
          <w:rFonts w:ascii="Times New Roman" w:hAnsi="Times New Roman"/>
          <w:sz w:val="20"/>
        </w:rPr>
      </w:pPr>
      <w:r>
        <w:rPr>
          <w:rFonts w:ascii="Times New Roman" w:hAnsi="Times New Roman"/>
          <w:color w:val="231F20"/>
          <w:sz w:val="20"/>
        </w:rPr>
        <w:t>In connection with the IPO, effective February 6, 2024, our board of directors adopted, and our stockholders approved, the Kyverna Thera</w:t>
      </w:r>
      <w:r>
        <w:rPr>
          <w:rFonts w:ascii="Times New Roman" w:hAnsi="Times New Roman"/>
          <w:color w:val="000000"/>
          <w:sz w:val="20"/>
        </w:rPr>
        <w:t xml:space="preserve">peutics, Inc. 2024 Equity Incentive Plan, which we refer to as the 2024 Plan. The purpose of the 2024 Plan is to </w:t>
      </w:r>
      <w:r>
        <w:rPr>
          <w:rFonts w:ascii="Times New Roman" w:hAnsi="Times New Roman"/>
          <w:color w:val="231F20"/>
          <w:sz w:val="20"/>
        </w:rPr>
        <w:t>provide incentives for our employees, directors and consultants to exert maximum efforts for the success of the Company and our affiliates and to provide a means by which such persons may be given an opportunity to benefit from increases in value of our common stock through the</w:t>
      </w:r>
      <w:r>
        <w:rPr>
          <w:rFonts w:ascii="Times New Roman" w:hAnsi="Times New Roman"/>
          <w:color w:val="000000"/>
          <w:sz w:val="20"/>
        </w:rPr>
        <w:t xml:space="preserve"> </w:t>
      </w:r>
      <w:r>
        <w:rPr>
          <w:rFonts w:ascii="Times New Roman" w:hAnsi="Times New Roman"/>
          <w:color w:val="231F20"/>
          <w:sz w:val="20"/>
        </w:rPr>
        <w:t>granting of awards</w:t>
      </w:r>
      <w:r>
        <w:rPr>
          <w:rFonts w:ascii="Times New Roman" w:hAnsi="Times New Roman"/>
          <w:color w:val="000000"/>
          <w:sz w:val="20"/>
        </w:rPr>
        <w: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2024 Employee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IPO, effective February 6, 2024, our board of director adopted and our stockholders approved, the Kyverna Therapeutics, Inc. 2024 Employee Stock Purchase Plan, which we refer to as the ESPP. The ESPP is intended to </w:t>
      </w:r>
      <w:r>
        <w:rPr>
          <w:rFonts w:ascii="Times New Roman" w:hAnsi="Times New Roman"/>
          <w:color w:val="231F20"/>
          <w:sz w:val="20"/>
        </w:rPr>
        <w:t>provide incentives for our employees to exert maximum efforts toward our success and that of our related corporations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is intended to qualify as an “employee stock purchase plan” under Section 423 of the Internal Revenue Code of 1986, as amended, or the Code. We may also authorize offerings under the ESPP that are not intended to comply with the requirements of Section 423 of the Code, which may, but are not required to, be made pursuant to any rules, procedures or sub-plans adopted by the compensation committee of our board of directors for such purpose.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Limitations on Liability and Indemnification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amended and restated certificate of incorporation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any breach of the director’s or officer’s duty of loyalty to the corporation or its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any act or omission not in good faith or that involves intentional misconduct or a knowing violation of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as a director, unlawful payments of dividends or unlawful stock repurchases or redemptions;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as an officer, derivative claims brought on behalf of the corporation by a stockholder;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any transaction from which the director or officer derived an improper personal benefit.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believe that these amended and restated certificate of incorporation provisions and indemnification agreements are necessary to attract and retain qualified persons as directors and officers. We also maintain customary directors’ and officers’ liability insurance.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limitation of liability and indemnification provisions in our amended and restated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Rule 10b5-1 Plans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August 10, 2024, subject to early termination, the sale of any shares under such Rule 10b5-1 plan would be subject to the lock-up agreement that the director or executive officer entered into with the underwriters in connection with the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Non-Employee Director Compensation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presents the total compensation for each person who served as a non-employee member of our board of directors during the year ended December 31, 2023. Other than as set forth in the table and described more fully below, in 2023 we did not pay any compensation to, reimburse any expense of, or grant any equity awards or non-equity awards to any of the non-employee members of our board of directors.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2023, we did not have a formal or standard compensation policy for our non-employee directors. However, pursuant to an offer letter, dated September 14, 2021, with Mr. Clark to serve as the chairperson of our board of directors, we have agreed to pay Mr. Clark an annual cash retainer of $100,000. In addition, on February 28, 2022, Mr. Clark was granted an option to purchase 38,736 shares of our common stock with an exercise price of $4.42 per share. Similarly, pursuant to our offer letter with Brian Kotzin, M.D., dated January 8, 2020, we agreed to pay him $100,000 per calendar year for his service on our board of directors. Pursuant to our offer letter, dated March 31, 2021, with Daniel Spiegelman, we agreed to pay Mr. Spiegelman an annual cash retainer for service on our board of directors of $50,000. On September 1, 2023, we entered into an advisor agreement with Mr. Spiegelman, pursuant to which he agreed to provide us advice in our evaluation of strategic options in the context of corporate finance activities, including, but not limited to, an initial public offering by us, in exchange for a payment of $10,000 per month. In addition, we have reimbursed and will continue to reimburse all of our non-employee directors for their reasonable out-of-pocket expenses incurred in attending board of directors and committee meetings.</w:t>
      </w:r>
    </w:p>
    <w:p>
      <w:pPr>
        <w:pStyle w:val="TextBody"/>
        <w:bidi w:val="0"/>
        <w:spacing w:before="120" w:after="283"/>
        <w:jc w:val="left"/>
        <w:rPr>
          <w:rFonts w:ascii="Times New Roman" w:hAnsi="Times New Roman"/>
          <w:sz w:val="20"/>
        </w:rPr>
      </w:pPr>
      <w:r>
        <w:rPr>
          <w:rFonts w:ascii="Times New Roman" w:hAnsi="Times New Roman"/>
          <w:color w:val="231F20"/>
          <w:sz w:val="20"/>
        </w:rPr>
        <w:t>The following table sets forth information for the year ended December 31, 2023 regarding the compensation awarded to, earned by or paid to persons who served as our directors during 2023 who are not named executive officers.</w:t>
      </w:r>
      <w:r>
        <w:rPr>
          <w:rFonts w:ascii="Times New Roman" w:hAnsi="Times New Roman"/>
          <w:color w:val="000000"/>
          <w:sz w:val="20"/>
        </w:rPr>
        <w:br/>
        <w:t> </w:t>
      </w:r>
    </w:p>
    <w:tbl>
      <w:tblPr>
        <w:tblW w:w="7812" w:type="dxa"/>
        <w:jc w:val="left"/>
        <w:tblInd w:w="0" w:type="dxa"/>
        <w:tblLayout w:type="fixed"/>
        <w:tblCellMar>
          <w:top w:w="28" w:type="dxa"/>
          <w:left w:w="28" w:type="dxa"/>
          <w:bottom w:w="28" w:type="dxa"/>
          <w:right w:w="28" w:type="dxa"/>
        </w:tblCellMar>
      </w:tblPr>
      <w:tblGrid>
        <w:gridCol w:w="2416"/>
        <w:gridCol w:w="146"/>
        <w:gridCol w:w="165"/>
        <w:gridCol w:w="885"/>
        <w:gridCol w:w="146"/>
        <w:gridCol w:w="146"/>
        <w:gridCol w:w="153"/>
        <w:gridCol w:w="822"/>
        <w:gridCol w:w="146"/>
        <w:gridCol w:w="146"/>
        <w:gridCol w:w="207"/>
        <w:gridCol w:w="1024"/>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sz w:val="18"/>
              </w:rPr>
            </w:pPr>
            <w:r>
              <w:rPr>
                <w:rFonts w:ascii="Times New Roman" w:hAnsi="Times New Roman"/>
                <w:b/>
                <w:color w:val="000000"/>
                <w:sz w:val="18"/>
              </w:rPr>
              <w:t>Name</w:t>
            </w:r>
            <w:r>
              <w:rPr>
                <w:rFonts w:ascii="Times New Roman" w:hAnsi="Times New Roman"/>
                <w:b/>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Fees Earned</w:t>
            </w:r>
          </w:p>
          <w:p>
            <w:pPr>
              <w:pStyle w:val="TableContents"/>
              <w:bidi w:val="0"/>
              <w:jc w:val="center"/>
              <w:rPr>
                <w:rFonts w:ascii="Times New Roman" w:hAnsi="Times New Roman"/>
                <w:b/>
                <w:color w:val="000000"/>
                <w:sz w:val="18"/>
              </w:rPr>
            </w:pPr>
            <w:r>
              <w:rPr>
                <w:rFonts w:ascii="Times New Roman" w:hAnsi="Times New Roman"/>
                <w:b/>
                <w:color w:val="000000"/>
                <w:sz w:val="18"/>
              </w:rPr>
              <w:t>or Paid in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Option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Awards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All Other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w:t>
              <w:b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Clark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E. Cohen, M.D., D.Phil.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Kotzin,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Liapis,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Beth Seidenberg,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K. Spiegelman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40,000</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color w:val="231F20"/>
          <w:sz w:val="20"/>
        </w:rPr>
      </w:pPr>
      <w:r>
        <w:rPr>
          <w:rFonts w:ascii="Times New Roman" w:hAnsi="Times New Roman"/>
          <w:color w:val="231F20"/>
          <w:sz w:val="20"/>
        </w:rPr>
        <w:t>(1) As of December 31, 2023, our then-serving non-employee directors held unexercised stock options with respect to the following number of shares of our common stock: Mr. Clark: 364,398 shares, Dr. Cohen: 32,959 shares, Dr. Kotzin: 76,265 shares, Dr. Liapis: no shares, Dr. Seidenberg: 32,959 shares; and Mr. Spiegelman: 50,537 shares.</w:t>
      </w:r>
    </w:p>
    <w:p>
      <w:pPr>
        <w:pStyle w:val="TextBody"/>
        <w:bidi w:val="0"/>
        <w:jc w:val="left"/>
        <w:rPr>
          <w:rFonts w:ascii="Times New Roman" w:hAnsi="Times New Roman"/>
          <w:color w:val="231F20"/>
          <w:sz w:val="20"/>
        </w:rPr>
      </w:pPr>
      <w:r>
        <w:rPr>
          <w:rFonts w:ascii="Times New Roman" w:hAnsi="Times New Roman"/>
          <w:color w:val="231F20"/>
          <w:sz w:val="20"/>
        </w:rPr>
        <w:t>(2) Represents compensation payable to Mr. Spiegelman under the advisor agreement, dated September 1, 2023.</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Non-Employee Director Compensation Policy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upon the closing of the IPO, our non-employee directors are compensated in accordance with our non-employee director compensation program, or the Director Compensation Program. Pursuant to the Director Compensation Program, our non-employee directors will receive cash compensation, paid quarterly in arrears,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Each non-employee director will receive a cash retainer in the amount of $40,000 per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independent Chairperson of our board of directors will receive an additional cash retainer of $35,000 per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Chairperson of the Audit Committee will receive a cash retainer in the amount of $20,000 per year for such Chairperson’s service on the Audit Committee. Each non-Chairperson member of the Audit Committee will receive a cash retainer in the amount of $10,000 per year for such member’s service on the Audit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Chairperson of the Compensation Committee will receive a cash retainer in the amount of $15,000 per year for such Chairperson’s service on the Compensation Committee. Each non-Chairperson member of the Compensation Committee will receive a cash retainer in the amount of $7,500 per year for such member’s service on the 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Chairperson of the Nominating and Corporate Governance Committee will receive a cash retainer in the amount of $10,000 per year for such Chairperson’s service on the Nominating and Corporate Governance Committee. Each non-Chairperson member of the Nominating and Corporate Governance Committee will receive a cash retainer in the amount of $5,000 per year for such member’s service on the 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Chairperson of the Science and Technology Committee will receive a cash retainer in the amount of $15,000 per year for such Chairperson’s service on the Science and Technology Committee. Each non-Chairperson member of the Science and Technology Committee will receive a cash retainer in the amount of $7,500 per year for such member’s service on the Science and Technology Committee.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Each non-employee director may elect, on an annual basis, to convert all or a portion of such non-employee director’s annual retainer into a number of restricted stock units granted under the 2024 Plan, which will be fully vested on the date of grant, and settlement of the restricted stock units may be deferred at the election of the non-employee director.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Under the Director Compensation Program, each non-employee director who is initially elected or appointed to our board of directors following the IPO will automatically be granted an option, or the Initial Grant, under the 2024 Plan to purchase that number of shares of our common stock equal to (i) $350,000, divided by (ii) the per share grant date fair value of the option award. The Initial Grant will vest as to 1/36th of the underlying shares on a monthly basis over three years, subject to continued service through the applicable vesting date. In addition, on the date of each annual meeting of our stockholders following the completion of the IPO, each non-employee director who (i) has been serving on our board of directors for at least four months and (ii) will continue to serve as a non-employee director immediately following such annual meeting will automatically be granted an option, or the Annual Grant, under the 2024 Plan to purchase that number of shares of our common stock equal to (i) $175,000, divided by (ii) the per share grant date fair value of the option award. The Annual Grant will vest in full on the earlier of the (i) first anniversary of the grant date and (ii) immediately prior to the annual meeting of our stockholders following the date of grant, subject to continued service through the applicable vesting 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Pursuant to the Director Compensation Program, upon a change in control transaction, all outstanding equity awards held by our non-employee directors will vest in full.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None of the expected members of the Compensation Committee has at any time been one of our officers or employees. None of our executive officers currently serves, or in the past fiscal year has served, as a member of our board of directors or the compensation committee of any entity that has one or more executive officers on our board of directors or the Compensation Committee.</w:t>
      </w:r>
    </w:p>
    <w:p>
      <w:pPr>
        <w:pStyle w:val="TextBody"/>
        <w:bidi w:val="0"/>
        <w:spacing w:before="360" w:after="283"/>
        <w:jc w:val="left"/>
        <w:rPr>
          <w:rFonts w:ascii="Times New Roman" w:hAnsi="Times New Roman"/>
          <w:b/>
          <w:color w:val="000000"/>
          <w:sz w:val="20"/>
        </w:rPr>
      </w:pPr>
      <w:bookmarkStart w:id="20" w:name="item_12_security_ownership"/>
      <w:bookmarkEnd w:id="20"/>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sets forth information with respect to the beneficial ownership of our common stock as of March 1, 2024, by:</w:t>
      </w:r>
    </w:p>
    <w:p>
      <w:pPr>
        <w:pStyle w:val="TextBody"/>
        <w:bidi w:val="0"/>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each of our named executive officers;</w:t>
      </w:r>
    </w:p>
    <w:p>
      <w:pPr>
        <w:pStyle w:val="TextBody"/>
        <w:bidi w:val="0"/>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each of our directors;</w:t>
      </w:r>
    </w:p>
    <w:p>
      <w:pPr>
        <w:pStyle w:val="TextBody"/>
        <w:bidi w:val="0"/>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all of our current directors and executive officers as a group; and</w:t>
      </w:r>
    </w:p>
    <w:p>
      <w:pPr>
        <w:pStyle w:val="TextBody"/>
        <w:bidi w:val="0"/>
        <w:jc w:val="left"/>
        <w:rPr>
          <w:rFonts w:ascii="Times New Roman" w:hAnsi="Times New Roman"/>
          <w:sz w:val="20"/>
        </w:rPr>
      </w:pP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color w:val="231F20"/>
          <w:sz w:val="20"/>
        </w:rPr>
        <w:t>each person, or group of affiliated persons, known by us to be the beneficial owner of more than 5% of our outstanding shares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determined beneficial ownership in accordance with the rules of the SEC, which generally means that a person has beneficial ownership of a security if he or she possesses sole or shared voting or investment power of that security, including options that are currently exercisable or exercisable within 60 days of March 1, 2024.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our calculation of the percentage of shares beneficially owned on 43,115,244 shares of our common stock outstanding as of March 1,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computing the number of shares beneficially owned by an individual or entity and the percentage ownership of that person, shares of our common stock subject to options, convertible securities or other rights, held by such person that are currently exercisable or will become exercisable within 60 days of March 1, 2024, are considered outstanding. We did not, however, deem such shares outstanding for the purpose of computing the percentage ownership of any other person.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Unless otherwise indicated, the address of each beneficial owner listed in the table below is c/o Kyverna Therapeutics, Inc., 5980 Horton St., STE 550 Emeryville, CA 94608.</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81"/>
        <w:gridCol w:w="2907"/>
        <w:gridCol w:w="2917"/>
      </w:tblGrid>
      <w:tr>
        <w:trPr/>
        <w:tc>
          <w:tcPr>
            <w:tcW w:w="4381"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Beneficial Owner</w:t>
            </w:r>
          </w:p>
        </w:tc>
        <w:tc>
          <w:tcPr>
            <w:tcW w:w="29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Beneficially Owned</w:t>
            </w:r>
          </w:p>
        </w:tc>
        <w:tc>
          <w:tcPr>
            <w:tcW w:w="29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Shares Beneficially Owned</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and Greater Stockholders:</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Bain Capital Life Sciences Opportunities III, LP</w:t>
            </w:r>
            <w:r>
              <w:rPr>
                <w:rFonts w:ascii="Times New Roman" w:hAnsi="Times New Roman"/>
                <w:color w:val="231F20"/>
                <w:sz w:val="13"/>
              </w:rPr>
              <w:t>(1)</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3,163,868</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Gilead Sciences, Inc.</w:t>
            </w:r>
            <w:r>
              <w:rPr>
                <w:rFonts w:ascii="Times New Roman" w:hAnsi="Times New Roman"/>
                <w:color w:val="231F20"/>
                <w:sz w:val="13"/>
              </w:rPr>
              <w:t>(2)</w:t>
            </w:r>
            <w:r>
              <w:rPr>
                <w:rFonts w:ascii="Times New Roman" w:hAnsi="Times New Roman"/>
                <w:color w:val="231F20"/>
                <w:sz w:val="20"/>
              </w:rPr>
              <w:t xml:space="preserve"> </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4,126,119</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9.6%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Northpond Ventures III, LP</w:t>
            </w:r>
            <w:r>
              <w:rPr>
                <w:rFonts w:ascii="Times New Roman" w:hAnsi="Times New Roman"/>
                <w:color w:val="231F20"/>
                <w:sz w:val="13"/>
              </w:rPr>
              <w:t>(3)</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3,255,426</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7.6%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Vida Ventures, LLC</w:t>
            </w:r>
            <w:r>
              <w:rPr>
                <w:rFonts w:ascii="Times New Roman" w:hAnsi="Times New Roman"/>
                <w:color w:val="231F20"/>
                <w:sz w:val="13"/>
              </w:rPr>
              <w:t>(4)</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4,777,060</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11.1%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Entities affiliated with Westlake BioPartners Fund I, L.P.</w:t>
            </w:r>
            <w:r>
              <w:rPr>
                <w:rFonts w:ascii="Times New Roman" w:hAnsi="Times New Roman"/>
                <w:color w:val="231F20"/>
                <w:sz w:val="13"/>
              </w:rPr>
              <w:t>(5)</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4,523,924</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Peter Maag, Ph.D.</w:t>
            </w:r>
            <w:r>
              <w:rPr>
                <w:rFonts w:ascii="Times New Roman" w:hAnsi="Times New Roman"/>
                <w:color w:val="231F20"/>
                <w:sz w:val="13"/>
              </w:rPr>
              <w:t>(6)</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523,985 </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Chung, M.D., Ph.D.</w:t>
            </w:r>
            <w:r>
              <w:rPr>
                <w:rFonts w:ascii="Times New Roman" w:hAnsi="Times New Roman"/>
                <w:color w:val="231F20"/>
                <w:sz w:val="13"/>
              </w:rPr>
              <w:t>(7)</w:t>
            </w:r>
            <w:r>
              <w:rPr>
                <w:rFonts w:ascii="Times New Roman" w:hAnsi="Times New Roman"/>
                <w:color w:val="231F20"/>
                <w:sz w:val="20"/>
              </w:rPr>
              <w:t xml:space="preserve"> </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74,160 </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Karen Walker</w:t>
            </w:r>
            <w:r>
              <w:rPr>
                <w:rFonts w:ascii="Times New Roman" w:hAnsi="Times New Roman"/>
                <w:color w:val="231F20"/>
                <w:sz w:val="13"/>
              </w:rPr>
              <w:t>(8)</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59,607 </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Ian Clark</w:t>
            </w:r>
            <w:r>
              <w:rPr>
                <w:rFonts w:ascii="Times New Roman" w:hAnsi="Times New Roman"/>
                <w:color w:val="231F20"/>
                <w:sz w:val="13"/>
              </w:rPr>
              <w:t>(9)</w:t>
            </w:r>
            <w:r>
              <w:rPr>
                <w:rFonts w:ascii="Times New Roman" w:hAnsi="Times New Roman"/>
                <w:color w:val="231F20"/>
                <w:sz w:val="20"/>
              </w:rPr>
              <w:t xml:space="preserve"> </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191,188 </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 Cohen, M.D.</w:t>
            </w:r>
            <w:r>
              <w:rPr>
                <w:rFonts w:ascii="Times New Roman" w:hAnsi="Times New Roman"/>
                <w:color w:val="231F20"/>
                <w:sz w:val="13"/>
              </w:rPr>
              <w:t>(10)</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4,523,924 </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Brian Kotzin, M.D.</w:t>
            </w:r>
            <w:r>
              <w:rPr>
                <w:rFonts w:ascii="Times New Roman" w:hAnsi="Times New Roman"/>
                <w:color w:val="231F20"/>
                <w:sz w:val="13"/>
              </w:rPr>
              <w:t>(11)</w:t>
            </w:r>
            <w:r>
              <w:rPr>
                <w:rFonts w:ascii="Times New Roman" w:hAnsi="Times New Roman"/>
                <w:color w:val="231F20"/>
                <w:sz w:val="20"/>
              </w:rPr>
              <w:t xml:space="preserve"> </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43,306 </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Liapis, Ph.D.</w:t>
            </w:r>
          </w:p>
        </w:tc>
        <w:tc>
          <w:tcPr>
            <w:tcW w:w="2907" w:type="dxa"/>
            <w:tcBorders/>
            <w:tcMar>
              <w:top w:w="0" w:type="dxa"/>
              <w:left w:w="0" w:type="dxa"/>
              <w:bottom w:w="0" w:type="dxa"/>
              <w:right w:w="0" w:type="dxa"/>
            </w:tcMar>
            <w:vAlign w:val="center"/>
          </w:tcPr>
          <w:p>
            <w:pPr>
              <w:pStyle w:val="TableContents"/>
              <w:bidi w:val="0"/>
              <w:spacing w:before="0" w:after="283"/>
              <w:jc w:val="right"/>
              <w:rPr/>
            </w:pPr>
            <w:r>
              <w:rPr>
                <w:color w:val="231F20"/>
              </w:rPr>
              <w:t>—</w:t>
            </w:r>
            <w:r>
              <w:rPr>
                <w:color w:val="000000"/>
              </w:rPr>
              <w:t xml:space="preserve"> </w:t>
            </w:r>
          </w:p>
        </w:tc>
        <w:tc>
          <w:tcPr>
            <w:tcW w:w="2917" w:type="dxa"/>
            <w:tcBorders/>
            <w:tcMar>
              <w:top w:w="0" w:type="dxa"/>
              <w:left w:w="0" w:type="dxa"/>
              <w:bottom w:w="0" w:type="dxa"/>
              <w:right w:w="0" w:type="dxa"/>
            </w:tcMar>
            <w:vAlign w:val="center"/>
          </w:tcPr>
          <w:p>
            <w:pPr>
              <w:pStyle w:val="TableContents"/>
              <w:bidi w:val="0"/>
              <w:spacing w:before="0" w:after="283"/>
              <w:jc w:val="right"/>
              <w:rPr/>
            </w:pPr>
            <w:r>
              <w:rPr>
                <w:color w:val="231F20"/>
              </w:rPr>
              <w:t>—</w:t>
            </w:r>
            <w:r>
              <w:rPr>
                <w:color w:val="000000"/>
              </w:rPr>
              <w:t xml:space="preserve">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Beth Seidenberg, M.D.</w:t>
            </w:r>
            <w:r>
              <w:rPr>
                <w:rFonts w:ascii="Times New Roman" w:hAnsi="Times New Roman"/>
                <w:color w:val="231F20"/>
                <w:sz w:val="13"/>
              </w:rPr>
              <w:t>(12)</w:t>
            </w:r>
            <w:r>
              <w:rPr>
                <w:rFonts w:ascii="Times New Roman" w:hAnsi="Times New Roman"/>
                <w:color w:val="231F20"/>
                <w:sz w:val="20"/>
              </w:rPr>
              <w:t xml:space="preserve"> </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4,523,924 </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Daniel K. Spiegelman</w:t>
            </w:r>
            <w:r>
              <w:rPr>
                <w:rFonts w:ascii="Times New Roman" w:hAnsi="Times New Roman"/>
                <w:color w:val="231F20"/>
                <w:sz w:val="13"/>
              </w:rPr>
              <w:t>(13)</w:t>
            </w:r>
            <w:r>
              <w:rPr>
                <w:rFonts w:ascii="Times New Roman" w:hAnsi="Times New Roman"/>
                <w:color w:val="231F20"/>
                <w:sz w:val="20"/>
              </w:rPr>
              <w:t xml:space="preserve"> </w:t>
            </w:r>
          </w:p>
        </w:tc>
        <w:tc>
          <w:tcPr>
            <w:tcW w:w="29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13,186 </w:t>
            </w:r>
          </w:p>
        </w:tc>
        <w:tc>
          <w:tcPr>
            <w:tcW w:w="2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31F20"/>
                <w:sz w:val="20"/>
              </w:rPr>
              <w:t>All executive officers and directors as a group (11 persons)</w:t>
            </w:r>
            <w:r>
              <w:rPr>
                <w:rFonts w:ascii="Times New Roman" w:hAnsi="Times New Roman"/>
                <w:color w:val="231F20"/>
                <w:sz w:val="13"/>
              </w:rPr>
              <w:t>(14)</w:t>
            </w:r>
          </w:p>
        </w:tc>
        <w:tc>
          <w:tcPr>
            <w:tcW w:w="2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10,465,044 </w:t>
            </w:r>
          </w:p>
        </w:tc>
        <w:tc>
          <w:tcPr>
            <w:tcW w:w="2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24.0% </w:t>
            </w:r>
          </w:p>
        </w:tc>
      </w:tr>
    </w:tbl>
    <w:p>
      <w:pPr>
        <w:pStyle w:val="TextBody"/>
        <w:bidi w:val="0"/>
        <w:jc w:val="both"/>
        <w:rPr>
          <w:rFonts w:ascii="Times New Roman" w:hAnsi="Times New Roman"/>
          <w:color w:val="000000"/>
          <w:sz w:val="24"/>
        </w:rPr>
      </w:pPr>
      <w:r>
        <w:rPr>
          <w:rFonts w:ascii="Times New Roman" w:hAnsi="Times New Roman"/>
          <w:color w:val="000000"/>
          <w:sz w:val="24"/>
        </w:rPr>
        <w:t>_______________</w:t>
      </w:r>
    </w:p>
    <w:p>
      <w:pPr>
        <w:pStyle w:val="TextBody"/>
        <w:bidi w:val="0"/>
        <w:jc w:val="both"/>
        <w:rPr>
          <w:rFonts w:ascii="Times New Roman" w:hAnsi="Times New Roman"/>
          <w:color w:val="231F20"/>
          <w:sz w:val="20"/>
        </w:rPr>
      </w:pPr>
      <w:r>
        <w:rPr>
          <w:rFonts w:ascii="Times New Roman" w:hAnsi="Times New Roman"/>
          <w:color w:val="231F20"/>
          <w:sz w:val="20"/>
        </w:rPr>
        <w:t>* Represents beneficial ownership of less than 1%.</w:t>
      </w:r>
    </w:p>
    <w:p>
      <w:pPr>
        <w:pStyle w:val="TextBody"/>
        <w:bidi w:val="0"/>
        <w:jc w:val="left"/>
        <w:rPr>
          <w:rFonts w:ascii="Times New Roman" w:hAnsi="Times New Roman"/>
          <w:sz w:val="20"/>
        </w:rPr>
      </w:pPr>
      <w:r>
        <w:rPr>
          <w:rFonts w:ascii="Times New Roman" w:hAnsi="Times New Roman"/>
          <w:color w:val="231F20"/>
          <w:sz w:val="20"/>
        </w:rPr>
        <w:t>(1) Number of shares beneficially owned as of February 7, 2024 as reported in a Schedule 13G filed by Bain Capital Life Sciences Opportunities III, LP on February 14, 2024. 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BCLSI may be deemed to share voting and dispositive power with respect to the shares held by Bain Capital Life Sciences Opportunities III, LP. Voting and investment decisions with respect to shares held by Bain Capital Life Sciences Opportunities III, L.P. are made by the partners of BCLSI, of whom</w:t>
      </w:r>
      <w:r>
        <w:rPr>
          <w:rFonts w:ascii="Times New Roman" w:hAnsi="Times New Roman"/>
          <w:color w:val="000000"/>
          <w:sz w:val="20"/>
        </w:rPr>
        <w:t xml:space="preserve"> </w:t>
      </w:r>
      <w:r>
        <w:rPr>
          <w:rFonts w:ascii="Times New Roman" w:hAnsi="Times New Roman"/>
          <w:color w:val="231F20"/>
          <w:sz w:val="20"/>
        </w:rPr>
        <w:t>there are three or more and none of whom individually has the power to direct such decisions. The address of Bain Capital Life Sciences Opportunities III, LP is c/o Bain Capital Life Sciences, LP, 200 Clarendon Street, Boston, MA 02116.</w:t>
      </w:r>
    </w:p>
    <w:p>
      <w:pPr>
        <w:pStyle w:val="TextBody"/>
        <w:bidi w:val="0"/>
        <w:jc w:val="left"/>
        <w:rPr>
          <w:rFonts w:ascii="Times New Roman" w:hAnsi="Times New Roman"/>
          <w:color w:val="231F20"/>
          <w:sz w:val="20"/>
        </w:rPr>
      </w:pPr>
      <w:r>
        <w:rPr>
          <w:rFonts w:ascii="Times New Roman" w:hAnsi="Times New Roman"/>
          <w:color w:val="231F20"/>
          <w:sz w:val="20"/>
        </w:rPr>
        <w:t>(2) Number of shares beneficially owned as of February 12, 2024 as reported in a Schedule 13G filed by Gilead Sciences, Inc. on February 20, 2024. The principal business address of Gilead Sciences, Inc. is 333 Lakeside Drive, Foster City, CA 94404.</w:t>
      </w:r>
    </w:p>
    <w:p>
      <w:pPr>
        <w:pStyle w:val="TextBody"/>
        <w:bidi w:val="0"/>
        <w:jc w:val="left"/>
        <w:rPr>
          <w:rFonts w:ascii="Times New Roman" w:hAnsi="Times New Roman"/>
          <w:color w:val="231F20"/>
          <w:sz w:val="20"/>
        </w:rPr>
      </w:pPr>
      <w:r>
        <w:rPr>
          <w:rFonts w:ascii="Times New Roman" w:hAnsi="Times New Roman"/>
          <w:color w:val="231F20"/>
          <w:sz w:val="20"/>
        </w:rPr>
        <w:t xml:space="preserve">(3) Number of shares beneficially owned as of February 12, 2024 as reported in a Schedule 13G filed by Northpond Ventures, LP (“Northpond”), Northpond Ventures GP, LLC (“Northpond GP”), Northpond Ventures III, LP (“Northpond III”), Northpond Ventures III GP, LLC (“Northpond III GP”) and Michael P. Rubin on February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22, 2024. Consists of: (i) 450,000 shares held by Northpond, and (ii) 2,805,426 shares of common stock held by Northpond III. </w:t>
      </w:r>
      <w:r>
        <w:rPr>
          <w:rFonts w:ascii="Times New Roman" w:hAnsi="Times New Roman"/>
          <w:color w:val="000000"/>
          <w:sz w:val="20"/>
        </w:rPr>
        <w:t>Northpond GP is the general partner of Northpond and Mr. Rubin is the managing member of Northpond GP.</w:t>
      </w:r>
      <w:r>
        <w:rPr>
          <w:rFonts w:ascii="Times New Roman" w:hAnsi="Times New Roman"/>
          <w:color w:val="231F20"/>
          <w:sz w:val="20"/>
        </w:rPr>
        <w:t xml:space="preserve"> </w:t>
      </w:r>
      <w:r>
        <w:rPr>
          <w:rFonts w:ascii="Times New Roman" w:hAnsi="Times New Roman"/>
          <w:color w:val="000000"/>
          <w:sz w:val="20"/>
        </w:rPr>
        <w:t xml:space="preserve">As such, Northpond GP and Mr. Rubin have shared dispositive and voting power over the shares held by Northpond and may be deemed to have indirect beneficial ownership of the shares held by Northpond. </w:t>
      </w:r>
      <w:r>
        <w:rPr>
          <w:rFonts w:ascii="Times New Roman" w:hAnsi="Times New Roman"/>
          <w:color w:val="231F20"/>
          <w:sz w:val="20"/>
        </w:rPr>
        <w:t>Northpond III GP is the general partner of Northpond III a</w:t>
      </w:r>
      <w:r>
        <w:rPr>
          <w:rFonts w:ascii="Times New Roman" w:hAnsi="Times New Roman"/>
          <w:color w:val="000000"/>
          <w:sz w:val="20"/>
        </w:rPr>
        <w:t>nd Mr. Rubin is the managing member of Northpond III GP</w:t>
      </w:r>
      <w:r>
        <w:rPr>
          <w:rFonts w:ascii="Times New Roman" w:hAnsi="Times New Roman"/>
          <w:color w:val="231F20"/>
          <w:sz w:val="20"/>
        </w:rPr>
        <w:t xml:space="preserve">. </w:t>
      </w:r>
      <w:r>
        <w:rPr>
          <w:rFonts w:ascii="Times New Roman" w:hAnsi="Times New Roman"/>
          <w:color w:val="000000"/>
          <w:sz w:val="20"/>
        </w:rPr>
        <w:t>As such, Northpond III GP and Mr. Rubin have shared dispositive and voting power over the shares held by Northpond III and may be deemed to have indirect beneficial ownership of the shares held by Northpond III</w:t>
      </w:r>
      <w:r>
        <w:rPr>
          <w:rFonts w:ascii="Times New Roman" w:hAnsi="Times New Roman"/>
          <w:color w:val="231F20"/>
          <w:sz w:val="20"/>
        </w:rPr>
        <w:t>. The address for each of these entities is 7500 Old Georgetown Rd, Suite 850, Bethesda, MD 20814.</w:t>
      </w:r>
    </w:p>
    <w:p>
      <w:pPr>
        <w:pStyle w:val="TextBody"/>
        <w:bidi w:val="0"/>
        <w:jc w:val="left"/>
        <w:rPr>
          <w:rFonts w:ascii="Times New Roman" w:hAnsi="Times New Roman"/>
          <w:color w:val="231F20"/>
          <w:sz w:val="20"/>
        </w:rPr>
      </w:pPr>
      <w:r>
        <w:rPr>
          <w:rFonts w:ascii="Times New Roman" w:hAnsi="Times New Roman"/>
          <w:color w:val="231F20"/>
          <w:sz w:val="20"/>
        </w:rPr>
        <w:t>(4) Number of shares beneficially owned as of February 12, 2024 as reported in a Form 4 filed by Vida Ventures, LLC (“Vida”), Vida Ventures GP III, L.L.C. (“Vida III GP”), Vida Ventures III, L.P. (“Vida III”) and Vida Ventures III-A, L.P. (“Vida III-A”) on February 14, 2024. Consists of: (i) 4,523,924 shares of common stock held by Vida, (ii) 252,553 shares held by Vida III and (iii) 583 shares held by Vida III-A. Vida Ventures Advisors, LLC is the investment advisor to Vida. Arie Belldegrun, Leonard Potter and Dr. Fred E. Cohen, a member of our board of directors, are the managing members of Vida Ventures Advisors, LLC, and may be deemed to share voting and dispositive power over the shares held by Vida. Vida III GP is the general partner of Vida III and Vida III-A. The address of Vida, Vida III, Vida III-A and Vida III GP is 40 Broad Street, Suite 201, Boston, Massachusetts 02109.</w:t>
      </w:r>
    </w:p>
    <w:p>
      <w:pPr>
        <w:pStyle w:val="TextBody"/>
        <w:bidi w:val="0"/>
        <w:jc w:val="left"/>
        <w:rPr>
          <w:rFonts w:ascii="Times New Roman" w:hAnsi="Times New Roman"/>
          <w:color w:val="231F20"/>
          <w:sz w:val="20"/>
        </w:rPr>
      </w:pPr>
      <w:r>
        <w:rPr>
          <w:rFonts w:ascii="Times New Roman" w:hAnsi="Times New Roman"/>
          <w:color w:val="231F20"/>
          <w:sz w:val="20"/>
        </w:rPr>
        <w:t>(5) Number of shares beneficially owned as of February 12, 2024 as reported in a Form 4 filed by Westlake BioPartners Fund I, L.P. (“Westlake I”), Westlake BioPartners GP I, LLC (“Westlake GP I”), Westlake BioPartners Opportunity Fund I, L.P. (“Westlake Opportunity”), Westlake BioPartners Opportunity GP I, LLC (“Westlake Opportunity GP I”) and Sean Harper on February 14, 2024. Consists of: (i) 3,787,940 shares of common stock held by Westlake I and (ii) 735,984 shares of common stock held by Westlake Opportunity. The general partners of Westlake I and Westlake Opportunity are Westlake GP I and Westlake Opportunity GP I. The voting and dispositive control over Westlake GP I and Westlake Opportunity GP I is shared by managing directors of Westlake GP I and Westlake Opportunity GP I, Beth Seidenberg and Sean Harper, none of whom has veto power. The address for Westlake I and Westlake Opportunity is 3075 Townsgate Rd., Suite 140, Westlake Village, CA 91361.</w:t>
      </w:r>
    </w:p>
    <w:p>
      <w:pPr>
        <w:pStyle w:val="TextBody"/>
        <w:bidi w:val="0"/>
        <w:jc w:val="left"/>
        <w:rPr>
          <w:rFonts w:ascii="Times New Roman" w:hAnsi="Times New Roman"/>
          <w:color w:val="231F20"/>
          <w:sz w:val="20"/>
        </w:rPr>
      </w:pPr>
      <w:r>
        <w:rPr>
          <w:rFonts w:ascii="Times New Roman" w:hAnsi="Times New Roman"/>
          <w:color w:val="231F20"/>
          <w:sz w:val="20"/>
        </w:rPr>
        <w:t>(6) Represents (i) 58,220 shares of common stock held directly, (ii) 349,321 shares of common stock held by The Maag Family Irrevocable Trust, and (iii) 116,444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(7) Represents (i) 65,918 shares of common stock, and (ii) 8,242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(8) Represents 59,607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(9) Represents 191,188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(10) Represents the 4,523,924 shares of common stock held by Vida listed in footnote (4) above. Dr. Cohen, a member of our board of directors, is a Senior Managing Director of Vida, and may be deemed to share voting and dispositive power over the shares held by Vida.</w:t>
      </w:r>
    </w:p>
    <w:p>
      <w:pPr>
        <w:pStyle w:val="TextBody"/>
        <w:bidi w:val="0"/>
        <w:jc w:val="left"/>
        <w:rPr>
          <w:rFonts w:ascii="Times New Roman" w:hAnsi="Times New Roman"/>
          <w:color w:val="231F20"/>
          <w:sz w:val="20"/>
        </w:rPr>
      </w:pPr>
      <w:r>
        <w:rPr>
          <w:rFonts w:ascii="Times New Roman" w:hAnsi="Times New Roman"/>
          <w:color w:val="231F20"/>
          <w:sz w:val="20"/>
        </w:rPr>
        <w:t>(11) Represents 43,306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(12) Represents the shares listed in footnote (5) above. Dr. Seidenberg, a member of our board of directors, is a managing director of Westlake GP I and, therefore, may be deemed to exercise voting and investment discretion with respect to such shares.</w:t>
      </w:r>
    </w:p>
    <w:p>
      <w:pPr>
        <w:pStyle w:val="TextBody"/>
        <w:bidi w:val="0"/>
        <w:jc w:val="left"/>
        <w:rPr>
          <w:rFonts w:ascii="Times New Roman" w:hAnsi="Times New Roman"/>
          <w:color w:val="231F20"/>
          <w:sz w:val="20"/>
        </w:rPr>
      </w:pPr>
      <w:r>
        <w:rPr>
          <w:rFonts w:ascii="Times New Roman" w:hAnsi="Times New Roman"/>
          <w:color w:val="231F20"/>
          <w:sz w:val="20"/>
        </w:rPr>
        <w:t>(13) Represents 13,186 shares of common stock subject to options that are exercisable within 60 days of March 1, 2024.</w:t>
      </w:r>
    </w:p>
    <w:p>
      <w:pPr>
        <w:pStyle w:val="TextBody"/>
        <w:bidi w:val="0"/>
        <w:jc w:val="left"/>
        <w:rPr>
          <w:rFonts w:ascii="Times New Roman" w:hAnsi="Times New Roman"/>
          <w:color w:val="231F20"/>
          <w:sz w:val="20"/>
        </w:rPr>
      </w:pPr>
      <w:r>
        <w:rPr>
          <w:rFonts w:ascii="Times New Roman" w:hAnsi="Times New Roman"/>
          <w:color w:val="231F20"/>
          <w:sz w:val="20"/>
        </w:rPr>
        <w:t>(14) Consists of (i) 9,996,450 shares of common stock beneficially owned by our current executive officers and directors (which includes an aggregate of 475,143 beneficially owned by two additional executive officers), and (ii) 468,594 shares of common stock subject to options that are exercisable within 60 days of March 1, 2024 (which includes an aggregate of 36,621 shares of common stock subject to options held by two additional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additional information as of December 31, 2023 with respect to the shares of common stock that may be issued upon the exercise of options and other rights under our existing equity compensation plans and arrangements in effect as of December 31, 2023. The information includes the number of shares covered by, and the weighted average exercise price of, outstanding options and the number of shares remaining available for future grant, excluding the shares to be issued upon exercise of outstanding options.</w:t>
      </w:r>
    </w:p>
    <w:tbl>
      <w:tblPr>
        <w:tblW w:w="10205" w:type="dxa"/>
        <w:jc w:val="left"/>
        <w:tblInd w:w="0" w:type="dxa"/>
        <w:tblLayout w:type="fixed"/>
        <w:tblCellMar>
          <w:top w:w="28" w:type="dxa"/>
          <w:left w:w="28" w:type="dxa"/>
          <w:bottom w:w="28" w:type="dxa"/>
          <w:right w:w="28" w:type="dxa"/>
        </w:tblCellMar>
      </w:tblPr>
      <w:tblGrid>
        <w:gridCol w:w="1968"/>
        <w:gridCol w:w="2379"/>
        <w:gridCol w:w="2574"/>
        <w:gridCol w:w="3284"/>
      </w:tblGrid>
      <w:tr>
        <w:trPr/>
        <w:tc>
          <w:tcPr>
            <w:tcW w:w="196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1968"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Plan Category</w:t>
            </w:r>
          </w:p>
        </w:tc>
        <w:tc>
          <w:tcPr>
            <w:tcW w:w="2379"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warrants and rights (a)</w:t>
            </w:r>
          </w:p>
        </w:tc>
        <w:tc>
          <w:tcPr>
            <w:tcW w:w="2574"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warrants and rights</w:t>
            </w:r>
          </w:p>
        </w:tc>
        <w:tc>
          <w:tcPr>
            <w:tcW w:w="3284"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column (a))</w:t>
            </w:r>
          </w:p>
        </w:tc>
      </w:tr>
      <w:tr>
        <w:trPr/>
        <w:tc>
          <w:tcPr>
            <w:tcW w:w="1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w:t>
            </w:r>
            <w:r>
              <w:rPr>
                <w:rFonts w:ascii="Times New Roman" w:hAnsi="Times New Roman"/>
                <w:color w:val="000000"/>
                <w:sz w:val="13"/>
              </w:rPr>
              <w:t>(1)</w:t>
            </w:r>
          </w:p>
        </w:tc>
        <w:tc>
          <w:tcPr>
            <w:tcW w:w="2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3,960,713</w:t>
            </w:r>
          </w:p>
        </w:tc>
        <w:tc>
          <w:tcPr>
            <w:tcW w:w="2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$ 4.18</w:t>
            </w:r>
          </w:p>
        </w:tc>
        <w:tc>
          <w:tcPr>
            <w:tcW w:w="3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487,673 </w:t>
            </w:r>
          </w:p>
        </w:tc>
      </w:tr>
      <w:tr>
        <w:trPr/>
        <w:tc>
          <w:tcPr>
            <w:tcW w:w="1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2379"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right"/>
              <w:rPr>
                <w:color w:val="000000"/>
              </w:rPr>
            </w:pPr>
            <w:r>
              <w:rPr>
                <w:color w:val="000000"/>
              </w:rPr>
              <w:t xml:space="preserve">— </w:t>
            </w:r>
          </w:p>
        </w:tc>
        <w:tc>
          <w:tcPr>
            <w:tcW w:w="2574"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right"/>
              <w:rPr>
                <w:color w:val="000000"/>
              </w:rPr>
            </w:pPr>
            <w:r>
              <w:rPr>
                <w:color w:val="000000"/>
              </w:rPr>
              <w:t>—</w:t>
            </w:r>
          </w:p>
        </w:tc>
        <w:tc>
          <w:tcPr>
            <w:tcW w:w="3284"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right"/>
              <w:rPr>
                <w:color w:val="000000"/>
              </w:rPr>
            </w:pPr>
            <w:r>
              <w:rPr>
                <w:color w:val="000000"/>
              </w:rPr>
              <w:t>—</w:t>
            </w:r>
          </w:p>
        </w:tc>
      </w:tr>
      <w:tr>
        <w:trPr/>
        <w:tc>
          <w:tcPr>
            <w:tcW w:w="1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3,960,713</w:t>
            </w:r>
          </w:p>
        </w:tc>
        <w:tc>
          <w:tcPr>
            <w:tcW w:w="2574" w:type="dxa"/>
            <w:tcBorders/>
            <w:shd w:fill="CFF0FC" w:val="clear"/>
            <w:tcMar>
              <w:top w:w="0" w:type="dxa"/>
              <w:left w:w="0" w:type="dxa"/>
              <w:bottom w:w="0" w:type="dxa"/>
              <w:right w:w="0" w:type="dxa"/>
            </w:tcMar>
            <w:vAlign w:val="center"/>
          </w:tcPr>
          <w:p>
            <w:pPr>
              <w:pStyle w:val="TableContents"/>
              <w:pBdr>
                <w:bottom w:val="double" w:sz="6" w:space="1" w:color="000000"/>
              </w:pBdr>
              <w:bidi w:val="0"/>
              <w:spacing w:before="0" w:after="283"/>
              <w:jc w:val="right"/>
              <w:rPr>
                <w:color w:val="000000"/>
              </w:rPr>
            </w:pPr>
            <w:r>
              <w:rPr>
                <w:color w:val="000000"/>
              </w:rPr>
              <w:t> </w:t>
            </w:r>
            <w:r>
              <w:rPr>
                <w:rFonts w:ascii="Times New Roman" w:hAnsi="Times New Roman"/>
                <w:color w:val="000000"/>
                <w:sz w:val="20"/>
              </w:rPr>
              <w:t>$ 4.18</w:t>
            </w:r>
          </w:p>
        </w:tc>
        <w:tc>
          <w:tcPr>
            <w:tcW w:w="3284" w:type="dxa"/>
            <w:tcBorders/>
            <w:shd w:fill="CFF0FC" w:val="clear"/>
            <w:tcMar>
              <w:top w:w="0" w:type="dxa"/>
              <w:left w:w="0" w:type="dxa"/>
              <w:bottom w:w="0" w:type="dxa"/>
              <w:right w:w="0" w:type="dxa"/>
            </w:tcMar>
            <w:vAlign w:val="center"/>
          </w:tcPr>
          <w:p>
            <w:pPr>
              <w:pStyle w:val="TableContents"/>
              <w:pBdr>
                <w:bottom w:val="double" w:sz="6" w:space="1" w:color="000000"/>
              </w:pBdr>
              <w:bidi w:val="0"/>
              <w:spacing w:before="0" w:after="283"/>
              <w:jc w:val="right"/>
              <w:rPr>
                <w:rFonts w:ascii="Times New Roman" w:hAnsi="Times New Roman"/>
                <w:color w:val="000000"/>
                <w:sz w:val="20"/>
              </w:rPr>
            </w:pPr>
            <w:r>
              <w:rPr>
                <w:rFonts w:ascii="Times New Roman" w:hAnsi="Times New Roman"/>
                <w:color w:val="000000"/>
                <w:sz w:val="20"/>
              </w:rPr>
              <w:t>487,673</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color w:val="231F20"/>
          <w:sz w:val="20"/>
        </w:rPr>
      </w:pPr>
      <w:r>
        <w:rPr>
          <w:rFonts w:ascii="Times New Roman" w:hAnsi="Times New Roman"/>
          <w:color w:val="231F20"/>
          <w:sz w:val="20"/>
        </w:rPr>
        <w:t>(1) Our Amended and Restated 2019 Stock Plan, or the 2019 Plan, which was approved by our board of directors and stockholders, was the only equity compensation plan we had in place as of December 31, 2023. In connection with the IPO, our board of directors and our stockholders approved two new equity compensation plans, the Kyverna Therapeutics, Inc. 2024 Equity Incentive Plan and the Kyverna Therapeutics, Inc. 2024 Employee Stock Purchase Plan. Each plan became effective on February 6, 2024. The table above does not include any amounts issuable under either the 2024 Equity Incentive Plan or the Kyverna Therapeutics, Inc. 2024 Employee Stock Purchase Plan because they were not in effect as of December 31, 2023.</w:t>
      </w:r>
    </w:p>
    <w:p>
      <w:pPr>
        <w:pStyle w:val="TextBody"/>
        <w:bidi w:val="0"/>
        <w:spacing w:before="360" w:after="283"/>
        <w:jc w:val="left"/>
        <w:rPr>
          <w:rFonts w:ascii="Times New Roman" w:hAnsi="Times New Roman"/>
          <w:b/>
          <w:color w:val="000000"/>
          <w:sz w:val="20"/>
        </w:rPr>
      </w:pPr>
      <w:bookmarkStart w:id="21" w:name="item_13_certain_relationships"/>
      <w:bookmarkEnd w:id="2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sz w:val="20"/>
        </w:rPr>
      </w:pPr>
      <w:r>
        <w:rPr>
          <w:rFonts w:ascii="Times New Roman" w:hAnsi="Times New Roman"/>
          <w:color w:val="231F20"/>
          <w:sz w:val="20"/>
        </w:rPr>
        <w:t>The following is a summary of transactions since January 1, 2023 and any currently proposed transactions to which we have been a participant in which the amount involved exceeded or will exceed the lesser of $120,000</w:t>
      </w:r>
      <w:r>
        <w:rPr>
          <w:rFonts w:ascii="Times New Roman" w:hAnsi="Times New Roman"/>
          <w:color w:val="000000"/>
          <w:sz w:val="20"/>
        </w:rPr>
        <w:t xml:space="preserve"> </w:t>
      </w:r>
      <w:r>
        <w:rPr>
          <w:rFonts w:ascii="Times New Roman" w:hAnsi="Times New Roman"/>
          <w:color w:val="231F20"/>
          <w:sz w:val="20"/>
        </w:rPr>
        <w:t>or 1% of the average of our total assets as of each of December 31, 2022 and 2023,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Part III, Item 11 of this Annual Report on Form 10-K.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Series B Preferred Stock Financing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multiple closings held between November 9, 2021 and July 31, 2023, we issued and sold an aggregate of 77,461,394 shares of our Series B convertible preferred stock at a purchase price of $1.8719 per share for an aggregate purchase price of $144,999,983.61. In addition, on December 29, 2021, we issued 3,739,515 shares of Series B convertible preferred stock in consideration for a certain license agreement entered into by us for a non-cash purchase price of $6,999,998.13.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 summarizes the Series B convertible preferred stock purchased by holders of more than 5% of our capital stock as of the date of the applicable closing of the Series B convertible preferred stock, and entities affiliated with certain of our executive officers and directors. Each outstanding share of Series B convertible preferred stock identified in the table below will automatically converted into shares of our common stock at a ratio of one-for-4.5511 immediately prior to the closing of the IPO.</w:t>
      </w:r>
    </w:p>
    <w:tbl>
      <w:tblPr>
        <w:tblW w:w="9852" w:type="dxa"/>
        <w:jc w:val="left"/>
        <w:tblInd w:w="0" w:type="dxa"/>
        <w:tblLayout w:type="fixed"/>
        <w:tblCellMar>
          <w:top w:w="28" w:type="dxa"/>
          <w:left w:w="28" w:type="dxa"/>
          <w:bottom w:w="28" w:type="dxa"/>
          <w:right w:w="28" w:type="dxa"/>
        </w:tblCellMar>
      </w:tblPr>
      <w:tblGrid>
        <w:gridCol w:w="4861"/>
        <w:gridCol w:w="146"/>
        <w:gridCol w:w="348"/>
        <w:gridCol w:w="2472"/>
        <w:gridCol w:w="146"/>
        <w:gridCol w:w="146"/>
        <w:gridCol w:w="146"/>
        <w:gridCol w:w="139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Name</w:t>
            </w:r>
            <w:r>
              <w:rPr>
                <w:rFonts w:ascii="Times New Roman" w:hAnsi="Times New Roman"/>
                <w:b/>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B Preferred Stock Purchased</w:t>
              <w:b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Purchase Price</w:t>
              <w:br/>
              <w:t>($)</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Northpond Ventures III, LP</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$23,899,999.90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Westlake BioPartners Fund I, L.P.</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7,356,162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$13,769,999.66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Vida Ventures, LLC</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$13,769,999.66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Gilead Sciences,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7,746,139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$14,499,997.60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RTW Investments LP</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$11,949,998.12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jVen Capital, LLC</w:t>
            </w:r>
            <w:r>
              <w:rPr>
                <w:rFonts w:ascii="Times New Roman" w:hAnsi="Times New Roman"/>
                <w:color w:val="000000"/>
                <w:sz w:val="13"/>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$1,179,998.98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Bain Capital Life Sciences Opportunities III,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$23,119,999.76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color w:val="231F20"/>
          <w:sz w:val="20"/>
        </w:rPr>
      </w:pPr>
      <w:r>
        <w:rPr>
          <w:rFonts w:ascii="Times New Roman" w:hAnsi="Times New Roman"/>
          <w:color w:val="231F20"/>
          <w:sz w:val="20"/>
        </w:rPr>
        <w:t>(1) Additional details regarding these stockholders that are currently beneficial owners of 5% of our outstanding shares of common stock and their equity holdings are included in Part III, Item 12 of this Annual Report on Form 10-K.</w:t>
      </w:r>
    </w:p>
    <w:p>
      <w:pPr>
        <w:pStyle w:val="TextBody"/>
        <w:bidi w:val="0"/>
        <w:jc w:val="left"/>
        <w:rPr>
          <w:rFonts w:ascii="Times New Roman" w:hAnsi="Times New Roman"/>
          <w:color w:val="231F20"/>
          <w:sz w:val="20"/>
        </w:rPr>
      </w:pPr>
      <w:r>
        <w:rPr>
          <w:rFonts w:ascii="Times New Roman" w:hAnsi="Times New Roman"/>
          <w:color w:val="231F20"/>
          <w:sz w:val="20"/>
        </w:rPr>
        <w:t>(2) Northpond Ventures III, LP beneficially owns more than 5% of our outstanding capital stock. Dr. Liapis is a member of our board of directors and is a principal at Northpond Ventures, LLC, an affiliate of Northpond Ventures III, LP.</w:t>
      </w:r>
    </w:p>
    <w:p>
      <w:pPr>
        <w:pStyle w:val="TextBody"/>
        <w:bidi w:val="0"/>
        <w:jc w:val="left"/>
        <w:rPr>
          <w:rFonts w:ascii="Times New Roman" w:hAnsi="Times New Roman"/>
          <w:color w:val="231F20"/>
          <w:sz w:val="20"/>
        </w:rPr>
      </w:pPr>
      <w:r>
        <w:rPr>
          <w:rFonts w:ascii="Times New Roman" w:hAnsi="Times New Roman"/>
          <w:color w:val="231F20"/>
          <w:sz w:val="20"/>
        </w:rPr>
        <w:t>(3) Consists of (i) 4,006,624 shares of Series B preferred stock issued to Westlake BioPartners Fund I, L.P. and (ii) 3,349,538 shares of Series B Preferred Stock issued to Westlake BioPartners Opportunity Fund I, L.P. Dr. Seidenberg is a member of our board of directors and is a managing director of Westlake BioPartners GP I, LLC and Westlake BioPartners Opportunity GP I, L.P., the general partner of Westlake BioPartners Fund I, L.P. and Westlake BioPartners Opportunity Fund I, L.P., respectively.</w:t>
      </w:r>
    </w:p>
    <w:p>
      <w:pPr>
        <w:pStyle w:val="TextBody"/>
        <w:bidi w:val="0"/>
        <w:jc w:val="left"/>
        <w:rPr>
          <w:rFonts w:ascii="Times New Roman" w:hAnsi="Times New Roman"/>
          <w:color w:val="231F20"/>
          <w:sz w:val="20"/>
        </w:rPr>
      </w:pPr>
      <w:r>
        <w:rPr>
          <w:rFonts w:ascii="Times New Roman" w:hAnsi="Times New Roman"/>
          <w:color w:val="231F20"/>
          <w:sz w:val="20"/>
        </w:rPr>
        <w:t>(4) Vida Ventures, LLC beneficially owns more than 5% of our outstanding capital stock. Dr. Cohen is a member of our board of directors and is a Senior Managing Director of Vida Ventures, LLC.</w:t>
      </w:r>
    </w:p>
    <w:p>
      <w:pPr>
        <w:pStyle w:val="TextBody"/>
        <w:bidi w:val="0"/>
        <w:jc w:val="left"/>
        <w:rPr>
          <w:rFonts w:ascii="Times New Roman" w:hAnsi="Times New Roman"/>
          <w:color w:val="231F20"/>
          <w:sz w:val="20"/>
        </w:rPr>
      </w:pPr>
      <w:r>
        <w:rPr>
          <w:rFonts w:ascii="Times New Roman" w:hAnsi="Times New Roman"/>
          <w:color w:val="231F20"/>
          <w:sz w:val="20"/>
        </w:rPr>
        <w:t>(5) Consists of (i) 3,553,387 shares of Series B preferred stock issued to RTW Master Fund, Ltd., (ii) 1,834,938 shares of Series B preferred stock issued to RTW Innovation Master Fund, Ltd., and (iii) 995,562 shares of Series B preferred stock issued to RTW Biotech Opportunities Ltd (formerly RTW Venture Fund Limited).</w:t>
      </w:r>
    </w:p>
    <w:p>
      <w:pPr>
        <w:pStyle w:val="TextBody"/>
        <w:bidi w:val="0"/>
        <w:jc w:val="left"/>
        <w:rPr>
          <w:rFonts w:ascii="Times New Roman" w:hAnsi="Times New Roman"/>
          <w:color w:val="231F20"/>
          <w:sz w:val="20"/>
        </w:rPr>
      </w:pPr>
      <w:r>
        <w:rPr>
          <w:rFonts w:ascii="Times New Roman" w:hAnsi="Times New Roman"/>
          <w:color w:val="231F20"/>
          <w:sz w:val="20"/>
        </w:rPr>
        <w:t xml:space="preserve">(6) jVen Capital, LLC is an entity controlled by an immediate family member of Mr. Ryan Jones, our Chief Financial Officer.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Investors’ Rights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November 2021, in connection with the initial issuance and sale of our Series B preferred stock, we entered into an Amended and Restated Investors’ Rights Agreement, as subsequently amended, or the Rights Agreement, with, among others, the following holders of more than 5% of our outstanding capital stock: Northpond Ventures III, LP, Westlake Biopartners Fund I, L.P., Vida Ventures, LLC, Gilead Sciences, Inc., entities affiliated with RTW Master Fund, Ltd. and Bain Capital Life Sciences Opportunities III, LP.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Rights Agreement grants certain rights to the holders of our outstanding convertible preferred stock, including certain registration rights with respect to the registrable securities held by them. In addition, the Rights Agreement imposed certain affirmative obligations on us, including, among other things, our obligation to grant each investor who holds shares of our convertible preferred stock a right of first offer with respect to future sales of our equity, excluding the shares offered and sold in the IPO, and grant certain information and inspection rights to such investors. Each of these other obligations terminated in connection with the closing of the IPO.</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Voting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November 2021, in connection with the initial issuance and sale of our Series B preferred stock, we entered into an Amended and Restated Voting Agreement, as subsequently amended, or the Voting Agreement, with, among others, the following holders of more than 5% of our outstanding capital stock: Gilead Sciences, Inc., entities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affiliated with RTW Master Fund, Ltd. and Bain Capital Life Sciences Opportunities III, LP. Northpond Ventures III, LP, Westlake Biopartners Fund I, L.P. and Vida Ventures, LLC, each of which currently has a director designee on our board of directors and is a holder of more than 5% of our outstanding capital stock, were also parties to the Voting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Pursuant to the Voting Agreement, (i) Westlake BioPartners Fund I, L.P. had the right to designate one member to be elected to our board of directors, (ii) Vida Ventures, LLC had the right to designate one member to be elected to our board of directors, (iii) Gilead Sciences, Inc. had the right to designate one member to be elected to our board of directors, and (iv) Northpond Ventures III, LP had the right to designate one member to be elected to our board of directors. The Voting Agreement terminated by its terms in connection with the closing of the IPO and none of our stockholders have any continuing rights regarding the election or designation of members of our board of directors following the IPO.</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Right of First Refusal and Co-Sale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November 2021, in connection with the initial issuance and sale of our Series B preferred stock, we entered into an Amended and Restated Right of First Refusal and Co-Sale Agreement, as subsequently amended, or the Co-Sale Agreement, with, among others, the following holders of more than 5% of our outstanding capital stock: entities affiliated with Gilead Sciences, Inc., entities affiliated with RTW Master Fund, Ltd. and Bain Capital Life Sciences Opportunities III, LP. Northpond Ventures III, LP, Westlake Biopartners Fund I, L.P. and Vida Ventures, LLC, each of which currently has a director designee on our board of directors and is a holder of more than 5% of our outstanding capital stock, were also parties to the Co-Sale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Pursuant to the Co-Sale Agreement, we had a right of first refusal in respect of certain sales of securities by certain holders of our common stock and convertible preferred stock, including holders of more than 5% of our outstanding capital stock. To the extent we did not exercise such right in full, certain holders of our capital stock were entitled to certain rights of first refusal and co-sale in respect of such sale. The Co-Sale Agreement terminated in connection with the closing of the IPO.</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Management Rights Letters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connection with the initial issuance and sale of our Series A-2 and Series B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the right to consult with and advise our management on significant business issues, review our operating plans, examine our books and records and inspect our facilities. These management rights letters terminated upon completion of the IPO.</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Employment Arrangements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employment offer letters with certain of our executive officers. For more information regarding these agreements with our executive officers, see Part III, Item 11 of this Annual Report on Form 10-K.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Equity Grants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granted options to purchase shares of our common stock to certain of our executive officers and directors. For more information regarding the options granted to our executive officers and directors, see Part III, Item 11 of this Annual Report on Form 10-K.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Indemnification Agreements</w:t>
      </w:r>
    </w:p>
    <w:p>
      <w:pPr>
        <w:pStyle w:val="TextBody"/>
        <w:bidi w:val="0"/>
        <w:spacing w:before="120" w:after="283"/>
        <w:jc w:val="left"/>
        <w:rPr>
          <w:rFonts w:ascii="Times New Roman" w:hAnsi="Times New Roman"/>
          <w:sz w:val="20"/>
        </w:rPr>
      </w:pPr>
      <w:r>
        <w:rPr>
          <w:rFonts w:ascii="Times New Roman" w:hAnsi="Times New Roman"/>
          <w:color w:val="231F20"/>
          <w:sz w:val="20"/>
        </w:rPr>
        <w:t>We have entered into indemnification agreements with certain of our current directors and executive officers and entered into indemnification agreements with each of our directors and executive officers in connection with the IPO. The indemnification agreements and our amended and restated bylaws, require us</w:t>
      </w:r>
      <w:r>
        <w:rPr>
          <w:rFonts w:ascii="Times New Roman" w:hAnsi="Times New Roman"/>
          <w:color w:val="000000"/>
          <w:sz w:val="20"/>
        </w:rPr>
        <w:t xml:space="preserve"> </w:t>
      </w:r>
      <w:r>
        <w:rPr>
          <w:rFonts w:ascii="Times New Roman" w:hAnsi="Times New Roman"/>
          <w:color w:val="231F20"/>
          <w:sz w:val="20"/>
        </w:rPr>
        <w:t>to indemnify our directors and executive officers to the fullest extent permitted by Delaware law. For more information regarding these agreements, see Part III, Item 11 of this Annual Report on Form 10-K.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Promissory Note with Dr. Maag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See Part III, Item 11 of this Annual Report on Form 10-K for a discussion of the partial recourse promissory note previously issued to us by Dr. Maag as consideration for an early exercise of an option to purchase shares of our common stock. On January 12, 2024, we forgave the promissory note in full, which includes the outstanding principal amount and interest through that date.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Advisor Agreement with Daniel Spiegelman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September 1, 2023, we entered into an advisor agreement with Daniel Spiegelman, a member of our board of directors, pursuant to which Mr. Spiegelman agreed to provide us advice in our evaluation of strategic options in the context of corporate finance activities, including, but not limited to, an initial public offering by us, in exchange for a payment of $10,000 per month. The advisor agreement provided that it would terminate on the earliest to occur of April 1, 2024, immediately prior to the effectiveness of a registration statement on Form S-1 filed by us with the SEC related to the initial public offering of our common stock and the date terminated by either party upon written notice to the other party. In accordance with the foregoing, the advisor agreement terminated on February 7, 2024.</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Participation in our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2024, we closed the IPO, pursuant to which we issued and sold 16,675,000 shares of common stock, which included the exercise in full by the underwriters of their option to purchase 2,175,000 additional shares, at an initial public offering price of $22.00 per share. The following table sets forth the number of shares of our common stock purchased by our directors, executive officers and 5% stockholders and their affiliates and the aggregate purchase price paid for such shares:</w:t>
      </w:r>
    </w:p>
    <w:tbl>
      <w:tblPr>
        <w:tblW w:w="10205" w:type="dxa"/>
        <w:jc w:val="left"/>
        <w:tblInd w:w="0" w:type="dxa"/>
        <w:tblLayout w:type="fixed"/>
        <w:tblCellMar>
          <w:top w:w="28" w:type="dxa"/>
          <w:left w:w="28" w:type="dxa"/>
          <w:bottom w:w="28" w:type="dxa"/>
          <w:right w:w="28" w:type="dxa"/>
        </w:tblCellMar>
      </w:tblPr>
      <w:tblGrid>
        <w:gridCol w:w="6074"/>
        <w:gridCol w:w="2241"/>
        <w:gridCol w:w="1890"/>
      </w:tblGrid>
      <w:tr>
        <w:trPr/>
        <w:tc>
          <w:tcPr>
            <w:tcW w:w="607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60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Purchaser</w:t>
            </w:r>
          </w:p>
        </w:tc>
        <w:tc>
          <w:tcPr>
            <w:tcW w:w="2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 Common Stock Purchased</w:t>
            </w:r>
          </w:p>
        </w:tc>
        <w:tc>
          <w:tcPr>
            <w:tcW w:w="1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Purchase Price</w:t>
            </w:r>
          </w:p>
        </w:tc>
      </w:tr>
      <w:tr>
        <w:trPr/>
        <w:tc>
          <w:tcPr>
            <w:tcW w:w="6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w:t>
            </w:r>
            <w:r>
              <w:rPr>
                <w:rFonts w:ascii="Times New Roman" w:hAnsi="Times New Roman"/>
                <w:color w:val="231F20"/>
                <w:sz w:val="20"/>
              </w:rPr>
              <w:t>ain Capital Life Sciences Opportunities III, LP</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$9,900,000</w:t>
            </w:r>
          </w:p>
        </w:tc>
      </w:tr>
      <w:tr>
        <w:trPr/>
        <w:tc>
          <w:tcPr>
            <w:tcW w:w="6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Gilead Sciences, Inc.</w:t>
            </w:r>
          </w:p>
        </w:tc>
        <w:tc>
          <w:tcPr>
            <w:tcW w:w="22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 xml:space="preserve">910,000 </w:t>
            </w:r>
          </w:p>
        </w:tc>
        <w:tc>
          <w:tcPr>
            <w:tcW w:w="189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$20,020,000</w:t>
            </w:r>
          </w:p>
        </w:tc>
      </w:tr>
      <w:tr>
        <w:trPr/>
        <w:tc>
          <w:tcPr>
            <w:tcW w:w="6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Northpond Ventures, LLC, affiliated with Northpond Ventures III, LP, a holder of more than 5% of our common stock</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450,000</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$9,900,000</w:t>
            </w:r>
          </w:p>
        </w:tc>
      </w:tr>
      <w:tr>
        <w:trPr/>
        <w:tc>
          <w:tcPr>
            <w:tcW w:w="6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Vida Ventures III, L.P., affiliated with Vida Ventures, LLC, a holder of more than 5% of our common stock</w:t>
            </w:r>
          </w:p>
        </w:tc>
        <w:tc>
          <w:tcPr>
            <w:tcW w:w="22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 xml:space="preserve">252,553 </w:t>
            </w:r>
          </w:p>
        </w:tc>
        <w:tc>
          <w:tcPr>
            <w:tcW w:w="189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$5,556,166</w:t>
            </w:r>
          </w:p>
        </w:tc>
      </w:tr>
      <w:tr>
        <w:trPr/>
        <w:tc>
          <w:tcPr>
            <w:tcW w:w="6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Vida Ventures III-A, L.P., affiliated with Vida Ventures, LLC, a holder of more than 5% of our common stock</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583</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$12,826</w:t>
            </w:r>
          </w:p>
        </w:tc>
      </w:tr>
    </w:tbl>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Related Person Transaction Policy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Prior to the IPO, we did not have a formal policy regarding approval of transactions with related parties. In connection with the IPO, we have adopted a written related person transaction policy that sets forth our procedures for the identification, review, consideration and approval or ratification of related person transactions. The policy became effective on February 7, 2024.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officer, director (or nominee to become a director) or beneficial owner of more than 5% of any class of our voting securities, including any of their immediate family members.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of the transactions described above were entered into prior to the adoption of the written related person transaction policy, but all were approved by our board of directors considering similar factors to those described above.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Director Independence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rules and listing standards of The Nasdaq Stock Market LLC, or the Nasdaq Rules, a majority of the members of our board of directors must satisfy the Nasdaq criteria for “independence.” No director qualifies as independent under the Nasdaq Rules unless our board of directors affirmatively determines that the director does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have a relationship with us that would impair independence (directly or as a partner, stockholder or officer of an organization that has a relationship with us). Our board of directors has determined that Ian Clark, Fred E. Cohen, M.D., D.Phil., Brian Kotzin, M.D., Steve Liapis, Ph.D., Beth Seidenberg, M.D. and Daniel K. Spiegelman are independent directors as defined under the Nasdaq Rules. Dr. Maag is not independent under the Nasdaq Rules as a result of his position as our Chief Executive Officer.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this Part III, Item 13 above.</w:t>
      </w:r>
    </w:p>
    <w:p>
      <w:pPr>
        <w:pStyle w:val="TextBody"/>
        <w:bidi w:val="0"/>
        <w:spacing w:before="360" w:after="283"/>
        <w:jc w:val="left"/>
        <w:rPr>
          <w:rFonts w:ascii="Times New Roman" w:hAnsi="Times New Roman"/>
          <w:b/>
          <w:color w:val="000000"/>
          <w:sz w:val="20"/>
        </w:rPr>
      </w:pPr>
      <w:bookmarkStart w:id="22" w:name="item_14_principal_accounting_fees"/>
      <w:bookmarkEnd w:id="22"/>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Fees Paid to Independent Registered Public Accounting Firm</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w:t>
      </w:r>
      <w:r>
        <w:rPr>
          <w:rFonts w:ascii="Times New Roman" w:hAnsi="Times New Roman"/>
          <w:color w:val="000000"/>
          <w:sz w:val="20"/>
        </w:rPr>
        <w:t>following table summarizes the aggregate fees paid or accrued by us for professional services provided by BDO USA, P.C., our independent registered public accounting firm, in the fiscal years ended December 31, 2023 and 2022:</w:t>
      </w:r>
    </w:p>
    <w:tbl>
      <w:tblPr>
        <w:tblW w:w="4321" w:type="dxa"/>
        <w:jc w:val="left"/>
        <w:tblInd w:w="0" w:type="dxa"/>
        <w:tblLayout w:type="fixed"/>
        <w:tblCellMar>
          <w:top w:w="28" w:type="dxa"/>
          <w:left w:w="28" w:type="dxa"/>
          <w:bottom w:w="28" w:type="dxa"/>
          <w:right w:w="28" w:type="dxa"/>
        </w:tblCellMar>
      </w:tblPr>
      <w:tblGrid>
        <w:gridCol w:w="1681"/>
        <w:gridCol w:w="1291"/>
        <w:gridCol w:w="1349"/>
      </w:tblGrid>
      <w:tr>
        <w:trPr/>
        <w:tc>
          <w:tcPr>
            <w:tcW w:w="16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68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2"/>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Fiscal Year Ended December 31,</w:t>
            </w:r>
          </w:p>
        </w:tc>
      </w:tr>
      <w:tr>
        <w:trPr/>
        <w:tc>
          <w:tcPr>
            <w:tcW w:w="168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29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349"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2022</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(l)</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$ 883,385</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$ 269,283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70,232</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$ 953,617</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$ 269,283</w:t>
            </w:r>
          </w:p>
        </w:tc>
      </w:tr>
    </w:tbl>
    <w:p>
      <w:pPr>
        <w:pStyle w:val="TextBody"/>
        <w:bidi w:val="0"/>
        <w:jc w:val="left"/>
        <w:rPr>
          <w:rFonts w:ascii="Times New Roman" w:hAnsi="Times New Roman"/>
          <w:color w:val="000000"/>
          <w:sz w:val="24"/>
        </w:rPr>
      </w:pPr>
      <w:r>
        <w:rPr>
          <w:rFonts w:ascii="Times New Roman" w:hAnsi="Times New Roman"/>
          <w:color w:val="000000"/>
          <w:sz w:val="24"/>
        </w:rPr>
        <w:t>_______________</w:t>
      </w:r>
    </w:p>
    <w:p>
      <w:pPr>
        <w:pStyle w:val="TextBody"/>
        <w:bidi w:val="0"/>
        <w:jc w:val="left"/>
        <w:rPr>
          <w:rFonts w:ascii="Times New Roman" w:hAnsi="Times New Roman"/>
          <w:color w:val="231F20"/>
          <w:sz w:val="20"/>
        </w:rPr>
      </w:pPr>
      <w:r>
        <w:rPr>
          <w:rFonts w:ascii="Times New Roman" w:hAnsi="Times New Roman"/>
          <w:color w:val="231F20"/>
          <w:sz w:val="20"/>
        </w:rPr>
        <w:t>(1) Audit fees for the year ended December 31, 2023 were for professional services rendered for the audits of our financial statements, review of interim financial statements, assistance with registration statements filed with the SEC and services that are normally provided by the independent registered public accounting firm in connection with statutory and regulatory filings or engagements. Audit Fees for the year ended December 31, 2023 included $582,000 incurred in connection with the filing of our Registration Statement on Form S-1 in connection with our IPO in February 2024. Audit fees for the year ended December 31, 2022, were for professional services rendered for the audit of our 2022 financial statements.</w:t>
      </w:r>
    </w:p>
    <w:p>
      <w:pPr>
        <w:pStyle w:val="TextBody"/>
        <w:bidi w:val="0"/>
        <w:jc w:val="left"/>
        <w:rPr>
          <w:rFonts w:ascii="Times New Roman" w:hAnsi="Times New Roman"/>
          <w:color w:val="231F20"/>
          <w:sz w:val="20"/>
        </w:rPr>
      </w:pPr>
      <w:r>
        <w:rPr>
          <w:rFonts w:ascii="Times New Roman" w:hAnsi="Times New Roman"/>
          <w:color w:val="231F20"/>
          <w:sz w:val="20"/>
        </w:rPr>
        <w:t>(2) Tax fees include fees for professional services related to tax compliance and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adopted a policy for the pre-approval of audit and non-audit services rendered by our independent registered public accounting firm, BDO USA, P.C.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3" w:name="item_15_exhibits_financial_statement"/>
      <w:bookmarkEnd w:id="2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Financial Statements. </w:t>
      </w:r>
      <w:r>
        <w:rPr>
          <w:rFonts w:ascii="Times New Roman" w:hAnsi="Times New Roman"/>
          <w:color w:val="000000"/>
          <w:sz w:val="20"/>
        </w:rPr>
        <w:t>The financial statements of Kyverna Therapeutics, Inc. and the report of BDO USA, P.C., Independent Registered Public Accounting Firm, are included in a separate section of this Annual Report on Form 10-K beginning on page F-1.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Exhibits</w:t>
      </w:r>
      <w:r>
        <w:rPr>
          <w:rFonts w:ascii="Times New Roman" w:hAnsi="Times New Roman"/>
          <w:color w:val="000000"/>
          <w:sz w:val="20"/>
        </w:rPr>
        <w:t>. 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743"/>
        <w:gridCol w:w="109"/>
        <w:gridCol w:w="6553"/>
        <w:gridCol w:w="109"/>
        <w:gridCol w:w="991"/>
        <w:gridCol w:w="109"/>
        <w:gridCol w:w="744"/>
        <w:gridCol w:w="109"/>
        <w:gridCol w:w="738"/>
      </w:tblGrid>
      <w:tr>
        <w:trPr/>
        <w:tc>
          <w:tcPr>
            <w:tcW w:w="7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w:t>
              <w:br/>
              <w:t>Form</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br/>
              <w:t>with the</w:t>
              <w:br/>
              <w:t>SEC</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Certificate of Incorporation of Kyverna Therapeutics, Inc.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Amended and Restated Bylaws of Kyverna Therapeutics, Inc.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Common Stock Certificate.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w:anchor="kytx-ex4_2.htm">
              <w:r>
                <w:rPr>
                  <w:rStyle w:val="InternetLink"/>
                  <w:rFonts w:ascii="Times New Roman" w:hAnsi="Times New Roman"/>
                  <w:color w:val="0000FF"/>
                  <w:sz w:val="20"/>
                  <w:u w:val="single"/>
                </w:rPr>
                <w:t>Description of Registrant’s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Kyverna Therapeutics, Inc. Amended and Restated 2019 Stock Plan, as amended, and forms of agreement thereunder.</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Kyverna Therapeutics, Inc. 2024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Kyverna Therapeutics, Inc. 2024 Equity Incentive Plan Form of Stock Option Agreement.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Kyverna Therapeutics, Inc. 2024 Equity Incentive Plan Form of Restricted Stock Unit Award Agreement.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Kyverna Therapeutics, Inc. 2024 Employee Stock Purchase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Indemnification Agreement.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Offer Letter, dated October 4, 2022, between Kyverna Therapeutics, Inc. and Peter Maag, Ph.D.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Employment Offer Letter, dated March 23, 2021, between Kyverna Therapeutics, Inc. and James Chung, M.D., Ph.D.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Employment Offer Letter, dated July 9, 2021, between Kyverna Therapeutics, Inc. and Karen Walker.</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Amended and Restated Investors’ Rights Agreement, dated November 9, 2021.</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Office/Laboratory Lease, dated July 21, 2020, between Kyverna Therapeutics, Inc. and Emery Station Office II, LLC.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First Amendment to Office/Laboratory Lease, dated November 29, 2021, between Kyverna Therapeutics, Inc. and Emery Station Office II, LLC</w:t>
              </w:r>
            </w:hyperlink>
            <w:r>
              <w:rPr>
                <w:rFonts w:ascii="Times New Roman" w:hAnsi="Times New Roman"/>
                <w:color w:val="000000"/>
                <w:sz w:val="20"/>
                <w:u w:val="single"/>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
        <w:gridCol w:w="109"/>
        <w:gridCol w:w="6587"/>
        <w:gridCol w:w="109"/>
        <w:gridCol w:w="991"/>
        <w:gridCol w:w="109"/>
        <w:gridCol w:w="727"/>
        <w:gridCol w:w="109"/>
        <w:gridCol w:w="738"/>
      </w:tblGrid>
      <w:tr>
        <w:trPr/>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r>
      <w:tr>
        <w:trPr/>
        <w:tc>
          <w:tcPr>
            <w:tcW w:w="7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w:t>
              <w:br/>
              <w:t>Form</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br/>
              <w:t>with the</w:t>
              <w:br/>
              <w:t>SEC</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r>
      <w:tr>
        <w:trPr/>
        <w:tc>
          <w:tcPr>
            <w:tcW w:w="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License and Collaboration Agreement, dated December 29, 2021, between Kyverna Therapeutics, Inc. and Intellia Therapeutics, Inc.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Patent License Agreement (License Number L-158-2021-0), dated May 20, 2021, between Kyverna Therapeutics, Inc. and the National Institutes of Health.</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Patent License Agreement (License Number L-159-2021-0), dated May 27, 2021, between Kyverna Therapeutics, Inc. and the National Institutes of Health.</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Kyverna Therapeutics, Inc. Non-Employee Director Compensation Program.</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23_1.htm">
              <w:r>
                <w:rPr>
                  <w:rStyle w:val="InternetLink"/>
                  <w:rFonts w:ascii="Times New Roman" w:hAnsi="Times New Roman"/>
                  <w:color w:val="0000FF"/>
                  <w:sz w:val="20"/>
                  <w:u w:val="single"/>
                </w:rPr>
                <w:t>Consent of BDO USA, P.C., Independent Registered Public Accounting Firm.</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24.1*</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to this Annual Report on Form 10-K).</w:t>
              </w:r>
            </w:hyperlink>
            <w:hyperlink w:anchor="signatures">
              <w:r>
                <w:rPr>
                  <w:rStyle w:val="InternetLink"/>
                  <w:rFonts w:ascii="Times New Roman" w:hAnsi="Times New Roman"/>
                  <w:color w:val="0000FF"/>
                  <w:sz w:val="20"/>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31_1.htm">
              <w:r>
                <w:rPr>
                  <w:rStyle w:val="InternetLink"/>
                  <w:rFonts w:ascii="Times New Roman" w:hAnsi="Times New Roman"/>
                  <w:color w:val="0000FF"/>
                  <w:sz w:val="20"/>
                  <w:u w:val="single"/>
                </w:rPr>
                <w:t>Certification of the Principal Executive Officer pursuant to Rule 13a-14(a) or 15d-14(a) of the Securities Exchange Act of 1934.</w:t>
              </w:r>
            </w:hyperlink>
            <w:r>
              <w:rPr>
                <w:rFonts w:ascii="Times New Roman" w:hAnsi="Times New Roman"/>
                <w:color w:val="0000FF"/>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31_2.htm">
              <w:r>
                <w:rPr>
                  <w:rStyle w:val="InternetLink"/>
                  <w:rFonts w:ascii="Times New Roman" w:hAnsi="Times New Roman"/>
                  <w:color w:val="0000FF"/>
                  <w:sz w:val="20"/>
                  <w:u w:val="single"/>
                </w:rPr>
                <w:t>Certification of the Principal Financial Officer pursuant to Rule 13a-14(a) or 15d-14(a) of the Securities Exchange Act of 1934.</w:t>
              </w:r>
            </w:hyperlink>
            <w:r>
              <w:rPr>
                <w:rFonts w:ascii="Times New Roman" w:hAnsi="Times New Roman"/>
                <w:color w:val="0000FF"/>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32_1.htm">
              <w:r>
                <w:rPr>
                  <w:rStyle w:val="InternetLink"/>
                  <w:rFonts w:ascii="Times New Roman" w:hAnsi="Times New Roman"/>
                  <w:color w:val="0000FF"/>
                  <w:sz w:val="20"/>
                  <w:u w:val="single"/>
                </w:rPr>
                <w:t>Certification of the Principal Executive Officer pursuant to 18 U.S.C. Section 1350, as adopted pursuant to Section 906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32_2.htm">
              <w:r>
                <w:rPr>
                  <w:rStyle w:val="InternetLink"/>
                  <w:rFonts w:ascii="Times New Roman" w:hAnsi="Times New Roman"/>
                  <w:color w:val="0000FF"/>
                  <w:sz w:val="20"/>
                  <w:u w:val="single"/>
                </w:rPr>
                <w:t>Certification of the Principal Financial Officer pursuant to 18 U.S.C. Section 1350, as adopted pursuant to Section 906 of the Sarbanes-Oxley Act of 2002.</w:t>
              </w:r>
            </w:hyperlink>
            <w:hyperlink w:anchor="kytx-ex32_2.htm">
              <w:r>
                <w:rPr>
                  <w:rStyle w:val="InternetLink"/>
                  <w:rFonts w:ascii="Times New Roman" w:hAnsi="Times New Roman"/>
                  <w:color w:val="0000FF"/>
                  <w:sz w:val="20"/>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pPr>
            <w:hyperlink w:anchor="kytx-ex97.htm">
              <w:r>
                <w:rPr>
                  <w:rStyle w:val="InternetLink"/>
                  <w:rFonts w:ascii="Times New Roman" w:hAnsi="Times New Roman"/>
                  <w:color w:val="0000FF"/>
                  <w:sz w:val="20"/>
                  <w:u w:val="single"/>
                </w:rPr>
                <w:t>Kyverna Therapeutics, Inc. Clawback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979" w:type="dxa"/>
            <w:tcBorders/>
            <w:shd w:fill="FFFFFF" w:val="cle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226" w:type="dxa"/>
            <w:tcBorders/>
            <w:shd w:fill="FFFFFF" w:val="clear"/>
            <w:vAlign w:val="center"/>
          </w:tcPr>
          <w:p>
            <w:pPr>
              <w:pStyle w:val="TableContents"/>
              <w:bidi w:val="0"/>
              <w:spacing w:before="0" w:after="283"/>
              <w:jc w:val="left"/>
              <w:rPr/>
            </w:pPr>
            <w:r>
              <w:rPr/>
              <w:t> </w:t>
            </w:r>
          </w:p>
        </w:tc>
        <w:tc>
          <w:tcPr>
            <w:tcW w:w="9979" w:type="dxa"/>
            <w:tcBorders/>
            <w:shd w:fill="FFFFFF" w:val="clear"/>
            <w:vAlign w:val="center"/>
          </w:tcPr>
          <w:p>
            <w:pPr>
              <w:pStyle w:val="TableContents"/>
              <w:bidi w:val="0"/>
              <w:spacing w:before="0" w:after="283"/>
              <w:jc w:val="left"/>
              <w:rPr/>
            </w:pPr>
            <w:r>
              <w:rPr/>
              <w:t> </w:t>
            </w:r>
          </w:p>
        </w:tc>
      </w:tr>
      <w:tr>
        <w:trPr/>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exhibit (indicated by [ * * *]) have been omitted because the registrant has determined that the information is both (i) not material and (ii) of the type that the Registrant treats as private and confidential.</w:t>
            </w:r>
          </w:p>
        </w:tc>
      </w:tr>
      <w:tr>
        <w:trPr/>
        <w:tc>
          <w:tcPr>
            <w:tcW w:w="226" w:type="dxa"/>
            <w:tcBorders/>
            <w:shd w:fill="FFFFFF" w:val="clear"/>
            <w:vAlign w:val="center"/>
          </w:tcPr>
          <w:p>
            <w:pPr>
              <w:pStyle w:val="TableContents"/>
              <w:bidi w:val="0"/>
              <w:spacing w:before="0" w:after="283"/>
              <w:jc w:val="left"/>
              <w:rPr/>
            </w:pPr>
            <w:r>
              <w:rPr/>
              <w:t> </w:t>
            </w:r>
          </w:p>
        </w:tc>
        <w:tc>
          <w:tcPr>
            <w:tcW w:w="9979" w:type="dxa"/>
            <w:tcBorders/>
            <w:shd w:fill="FFFFFF" w:val="clear"/>
            <w:vAlign w:val="center"/>
          </w:tcPr>
          <w:p>
            <w:pPr>
              <w:pStyle w:val="TableContents"/>
              <w:bidi w:val="0"/>
              <w:spacing w:before="0" w:after="283"/>
              <w:jc w:val="left"/>
              <w:rPr/>
            </w:pPr>
            <w:r>
              <w:rPr/>
              <w:t> </w:t>
            </w:r>
          </w:p>
        </w:tc>
      </w:tr>
      <w:tr>
        <w:trPr/>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Financial Statement Schedules</w:t>
      </w:r>
      <w:r>
        <w:rPr>
          <w:rFonts w:ascii="Times New Roman" w:hAnsi="Times New Roman"/>
          <w:color w:val="000000"/>
          <w:sz w:val="20"/>
        </w:rPr>
        <w:t>. All financial statement schedules are omitted because they are not applicable or required, or the information required to be set forth therein is included in the consolidated financial statements or notes thereto included in the Index to Financial Statements on Page F-1 of this Annual Report on Form 10-K.</w:t>
      </w:r>
    </w:p>
    <w:p>
      <w:pPr>
        <w:pStyle w:val="TextBody"/>
        <w:bidi w:val="0"/>
        <w:spacing w:before="360" w:after="283"/>
        <w:jc w:val="left"/>
        <w:rPr>
          <w:rFonts w:ascii="Times New Roman" w:hAnsi="Times New Roman"/>
          <w:b/>
          <w:color w:val="000000"/>
          <w:sz w:val="20"/>
        </w:rPr>
      </w:pPr>
      <w:bookmarkStart w:id="24" w:name="item_16_form_10_k_summary"/>
      <w:bookmarkEnd w:id="2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165" w:type="dxa"/>
        <w:jc w:val="left"/>
        <w:tblInd w:w="0" w:type="dxa"/>
        <w:tblLayout w:type="fixed"/>
        <w:tblCellMar>
          <w:top w:w="28" w:type="dxa"/>
          <w:left w:w="28" w:type="dxa"/>
          <w:bottom w:w="28" w:type="dxa"/>
          <w:right w:w="28" w:type="dxa"/>
        </w:tblCellMar>
      </w:tblPr>
      <w:tblGrid>
        <w:gridCol w:w="1891"/>
        <w:gridCol w:w="109"/>
        <w:gridCol w:w="506"/>
        <w:gridCol w:w="2659"/>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Peter Maag, Ph.D. and Ryan Jones, and each of them, as his or her true and lawful attorney-in-fact and agent, with full power of substitution and resubstitution and full power to act without the other,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075" w:type="dxa"/>
        <w:jc w:val="left"/>
        <w:tblInd w:w="0" w:type="dxa"/>
        <w:tblLayout w:type="fixed"/>
        <w:tblCellMar>
          <w:top w:w="28" w:type="dxa"/>
          <w:left w:w="28" w:type="dxa"/>
          <w:bottom w:w="28" w:type="dxa"/>
          <w:right w:w="28" w:type="dxa"/>
        </w:tblCellMar>
      </w:tblPr>
      <w:tblGrid>
        <w:gridCol w:w="2656"/>
        <w:gridCol w:w="146"/>
        <w:gridCol w:w="5626"/>
        <w:gridCol w:w="146"/>
        <w:gridCol w:w="150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Maag,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Maag,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Jones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Clark</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Ian Clark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Fred E. Cohen, M.D., D.Phil.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Fred E. Cohen, M.D., D.Phil.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Kotzin,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Kotzin,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 Liapis,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 Liapis,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Beth Seidenberg,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 Seidenberg,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Spiegelman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26, 2024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Spiegelman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Audited Financial Statements as of and for the Years Ended December 31,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07"/>
        <w:gridCol w:w="146"/>
        <w:gridCol w:w="652"/>
      </w:tblGrid>
      <w:tr>
        <w:trPr/>
        <w:tc>
          <w:tcPr>
            <w:tcW w:w="9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(BDO USA, P.C., San Diego, California PCAOB #243)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 as of December 31,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Statements of Operations and Comprehensive Loss for the years ended December 31,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7"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statements_of_redeemable_convertible">
              <w:r>
                <w:rPr>
                  <w:rStyle w:val="InternetLink"/>
                  <w:rFonts w:ascii="Times New Roman" w:hAnsi="Times New Roman"/>
                  <w:color w:val="0000FF"/>
                  <w:sz w:val="20"/>
                  <w:u w:val="single"/>
                </w:rPr>
                <w:t>Statements of Redeemable Convertible Preferred Stock and Stockholders’ Deficit for the years ended</w:t>
              </w:r>
            </w:hyperlink>
            <w:r>
              <w:rPr>
                <w:rFonts w:ascii="Times New Roman" w:hAnsi="Times New Roman"/>
                <w:color w:val="000000"/>
                <w:sz w:val="20"/>
              </w:rPr>
              <w:t xml:space="preserve"> </w:t>
            </w:r>
            <w:hyperlink w:anchor="statements_of_redeemable_convertible">
              <w:r>
                <w:rPr>
                  <w:rStyle w:val="InternetLink"/>
                  <w:rFonts w:ascii="Times New Roman" w:hAnsi="Times New Roman"/>
                  <w:color w:val="0000FF"/>
                  <w:sz w:val="20"/>
                  <w:u w:val="single"/>
                </w:rPr>
                <w:t>December 31,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F-5</w:t>
            </w:r>
          </w:p>
        </w:tc>
      </w:tr>
      <w:tr>
        <w:trPr/>
        <w:tc>
          <w:tcPr>
            <w:tcW w:w="9407" w:type="dxa"/>
            <w:tcBorders/>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 for the years ended December 31,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07" w:type="dxa"/>
            <w:tcBorders/>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report_of_independent_registered"/>
      <w:bookmarkEnd w:id="26"/>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Kyverna Therapeutics, Inc. </w:t>
      </w:r>
    </w:p>
    <w:p>
      <w:pPr>
        <w:pStyle w:val="TextBody"/>
        <w:bidi w:val="0"/>
        <w:jc w:val="left"/>
        <w:rPr>
          <w:rFonts w:ascii="Times New Roman" w:hAnsi="Times New Roman"/>
          <w:color w:val="000000"/>
          <w:sz w:val="20"/>
        </w:rPr>
      </w:pPr>
      <w:r>
        <w:rPr>
          <w:rFonts w:ascii="Times New Roman" w:hAnsi="Times New Roman"/>
          <w:color w:val="000000"/>
          <w:sz w:val="20"/>
        </w:rPr>
        <w:t>Emeryville, California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We have audited the accompanying balance sheets of Kyverna Therapeutics, Inc. (the “Company”) as of December 31, 2023 and 2022,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the years then ended</w:t>
      </w:r>
      <w:r>
        <w:rPr>
          <w:rFonts w:ascii="Times New Roman" w:hAnsi="Times New Roman"/>
          <w:b/>
          <w:color w:val="000000"/>
          <w:sz w:val="20"/>
        </w:rPr>
        <w:t xml:space="preserve">, </w:t>
      </w:r>
      <w:r>
        <w:rPr>
          <w:rFonts w:ascii="Times New Roman" w:hAnsi="Times New Roman"/>
          <w:color w:val="000000"/>
          <w:sz w:val="20"/>
        </w:rPr>
        <w:t>in conformity with accounting principles generally accepted in the United States of America.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BDO USA, 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March 26,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b/>
          <w:color w:val="231F20"/>
          <w:sz w:val="20"/>
        </w:rPr>
      </w:pPr>
      <w:bookmarkStart w:id="27" w:name="balance_sheets"/>
      <w:bookmarkEnd w:id="27"/>
      <w:r>
        <w:rPr>
          <w:rFonts w:ascii="Times New Roman" w:hAnsi="Times New Roman"/>
          <w:b/>
          <w:color w:val="231F20"/>
          <w:sz w:val="20"/>
        </w:rPr>
        <w:t>Balance Sheets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841"/>
        <w:gridCol w:w="166"/>
        <w:gridCol w:w="146"/>
        <w:gridCol w:w="211"/>
        <w:gridCol w:w="78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w:t>
              <w:br/>
              <w:t>   deficit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license expense –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short-term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short-term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net of short-term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net of short-term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Redeemable convertible preferred stock, $0.00001 par value, 114,556,997 and 97,462,067 shares authorized as of December 31, 2023 and 2022, respectively; 114,556,997 and 82,504,003 shares issued and outstanding as of December 31, 2023 and 2022, respectively; liquidation preference of $181,273 and $121,273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120,674</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Common stock, $0.00001 par value; 140,492,016 and 117,000,000 shares authorized as of December 31, 2023 and 2022, respectively; 1,250,103 and 1,007,537 shares issued and outstanding as of December 31, 2023 and 2022, respectively; 8,125 and 454,950 shares subject to repurchase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w:t>
              <w:br/>
              <w:t>   stockholders’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231F20"/>
          <w:sz w:val="20"/>
        </w:rPr>
      </w:pPr>
      <w:r>
        <w:rPr>
          <w:rFonts w:ascii="Times New Roman" w:hAnsi="Times New Roman"/>
          <w:i/>
          <w:color w:val="231F2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b/>
          <w:color w:val="231F20"/>
          <w:sz w:val="20"/>
        </w:rPr>
      </w:pPr>
      <w:bookmarkStart w:id="28" w:name="statements_of_operations"/>
      <w:bookmarkEnd w:id="28"/>
      <w:r>
        <w:rPr>
          <w:rFonts w:ascii="Times New Roman" w:hAnsi="Times New Roman"/>
          <w:b/>
          <w:color w:val="231F20"/>
          <w:sz w:val="20"/>
        </w:rPr>
        <w:t>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left"/>
        <w:rPr/>
      </w:pPr>
      <w:r>
        <w:rPr/>
        <w:t> </w:t>
      </w:r>
    </w:p>
    <w:tbl>
      <w:tblPr>
        <w:tblW w:w="9334" w:type="dxa"/>
        <w:jc w:val="left"/>
        <w:tblInd w:w="0" w:type="dxa"/>
        <w:tblLayout w:type="fixed"/>
        <w:tblCellMar>
          <w:top w:w="28" w:type="dxa"/>
          <w:left w:w="28" w:type="dxa"/>
          <w:bottom w:w="28" w:type="dxa"/>
          <w:right w:w="28" w:type="dxa"/>
        </w:tblCellMar>
      </w:tblPr>
      <w:tblGrid>
        <w:gridCol w:w="6101"/>
        <w:gridCol w:w="146"/>
        <w:gridCol w:w="211"/>
        <w:gridCol w:w="781"/>
        <w:gridCol w:w="166"/>
        <w:gridCol w:w="146"/>
        <w:gridCol w:w="211"/>
        <w:gridCol w:w="781"/>
        <w:gridCol w:w="79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revenue - 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791" w:type="dxa"/>
            <w:tcBorders/>
            <w:shd w:fill="FFFFFF" w:val="cle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0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(29,384</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400"/>
              <w:jc w:val="right"/>
              <w:rPr/>
            </w:pPr>
            <w:r>
              <w:rPr/>
              <w:t> </w:t>
            </w:r>
          </w:p>
        </w:tc>
      </w:tr>
      <w:tr>
        <w:trPr/>
        <w:tc>
          <w:tcPr>
            <w:tcW w:w="61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gain (loss) on available-for-sale marketable securities,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gain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455,478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231F20"/>
          <w:sz w:val="20"/>
        </w:rPr>
      </w:pPr>
      <w:r>
        <w:rPr>
          <w:rFonts w:ascii="Times New Roman" w:hAnsi="Times New Roman"/>
          <w:i/>
          <w:color w:val="231F2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b/>
          <w:color w:val="231F20"/>
          <w:sz w:val="20"/>
        </w:rPr>
      </w:pPr>
      <w:bookmarkStart w:id="29" w:name="statements_of_redeemable_convertible"/>
      <w:bookmarkEnd w:id="29"/>
      <w:r>
        <w:rPr>
          <w:rFonts w:ascii="Times New Roman" w:hAnsi="Times New Roman"/>
          <w:b/>
          <w:color w:val="231F20"/>
          <w:sz w:val="20"/>
        </w:rPr>
        <w:t>Statements of Redeemable Convertible Preferred Stock and Stockholders’ Deficit</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data)</w:t>
      </w:r>
    </w:p>
    <w:p>
      <w:pPr>
        <w:pStyle w:val="TextBody"/>
        <w:bidi w:val="0"/>
        <w:jc w:val="left"/>
        <w:rPr/>
      </w:pPr>
      <w:r>
        <w:rPr/>
        <w:t> </w:t>
      </w:r>
    </w:p>
    <w:tbl>
      <w:tblPr>
        <w:tblW w:w="10359" w:type="dxa"/>
        <w:jc w:val="left"/>
        <w:tblInd w:w="0" w:type="dxa"/>
        <w:tblLayout w:type="fixed"/>
        <w:tblCellMar>
          <w:top w:w="28" w:type="dxa"/>
          <w:left w:w="28" w:type="dxa"/>
          <w:bottom w:w="28" w:type="dxa"/>
          <w:right w:w="28" w:type="dxa"/>
        </w:tblCellMar>
      </w:tblPr>
      <w:tblGrid>
        <w:gridCol w:w="1126"/>
        <w:gridCol w:w="146"/>
        <w:gridCol w:w="146"/>
        <w:gridCol w:w="841"/>
        <w:gridCol w:w="146"/>
        <w:gridCol w:w="146"/>
        <w:gridCol w:w="181"/>
        <w:gridCol w:w="586"/>
        <w:gridCol w:w="146"/>
        <w:gridCol w:w="146"/>
        <w:gridCol w:w="146"/>
        <w:gridCol w:w="146"/>
        <w:gridCol w:w="691"/>
        <w:gridCol w:w="146"/>
        <w:gridCol w:w="146"/>
        <w:gridCol w:w="196"/>
        <w:gridCol w:w="375"/>
        <w:gridCol w:w="146"/>
        <w:gridCol w:w="146"/>
        <w:gridCol w:w="220"/>
        <w:gridCol w:w="531"/>
        <w:gridCol w:w="146"/>
        <w:gridCol w:w="146"/>
        <w:gridCol w:w="194"/>
        <w:gridCol w:w="677"/>
        <w:gridCol w:w="151"/>
        <w:gridCol w:w="146"/>
        <w:gridCol w:w="350"/>
        <w:gridCol w:w="671"/>
        <w:gridCol w:w="151"/>
        <w:gridCol w:w="146"/>
        <w:gridCol w:w="197"/>
        <w:gridCol w:w="68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76,093,406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108,720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redeemable convertible preferred stock for cash, net of issuance costs of $45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6,410,597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options and restricted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5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early exercise of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5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5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(28,893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marketable securities,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82,504,003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redeemable convertible preferred stock for cash, net of issuance costs of $100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32,052,994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options and restricted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5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exercise of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5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(60,366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35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available-for-sale marketable securities,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114,556,997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(131,397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sz w:val="20"/>
        </w:rPr>
      </w:pPr>
      <w:bookmarkStart w:id="30" w:name="statements_of_cash_flows"/>
      <w:bookmarkEnd w:id="30"/>
      <w:r>
        <w:rPr>
          <w:rFonts w:ascii="Times New Roman" w:hAnsi="Times New Roman"/>
          <w:b/>
          <w:color w:val="231F20"/>
          <w:sz w:val="20"/>
        </w:rPr>
        <w:t>Statements</w:t>
      </w:r>
      <w:r>
        <w:rPr>
          <w:rFonts w:ascii="Times New Roman" w:hAnsi="Times New Roman"/>
          <w:color w:val="231F20"/>
          <w:sz w:val="20"/>
        </w:rPr>
        <w:t xml:space="preserve"> </w:t>
      </w:r>
      <w:r>
        <w:rPr>
          <w:rFonts w:ascii="Times New Roman" w:hAnsi="Times New Roman"/>
          <w:b/>
          <w:color w:val="231F20"/>
          <w:sz w:val="20"/>
        </w:rPr>
        <w:t>of Cash Flows (in thousands)</w:t>
      </w:r>
    </w:p>
    <w:p>
      <w:pPr>
        <w:pStyle w:val="TextBody"/>
        <w:bidi w:val="0"/>
        <w:jc w:val="left"/>
        <w:rPr/>
      </w:pPr>
      <w:r>
        <w:rPr/>
        <w:t> </w:t>
      </w:r>
    </w:p>
    <w:tbl>
      <w:tblPr>
        <w:tblW w:w="9786" w:type="dxa"/>
        <w:jc w:val="left"/>
        <w:tblInd w:w="0" w:type="dxa"/>
        <w:tblLayout w:type="fixed"/>
        <w:tblCellMar>
          <w:top w:w="28" w:type="dxa"/>
          <w:left w:w="28" w:type="dxa"/>
          <w:bottom w:w="28" w:type="dxa"/>
          <w:right w:w="28" w:type="dxa"/>
        </w:tblCellMar>
      </w:tblPr>
      <w:tblGrid>
        <w:gridCol w:w="6516"/>
        <w:gridCol w:w="346"/>
        <w:gridCol w:w="204"/>
        <w:gridCol w:w="690"/>
        <w:gridCol w:w="173"/>
        <w:gridCol w:w="152"/>
        <w:gridCol w:w="204"/>
        <w:gridCol w:w="690"/>
        <w:gridCol w:w="811"/>
      </w:tblGrid>
      <w:tr>
        <w:trPr/>
        <w:tc>
          <w:tcPr>
            <w:tcW w:w="6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346" w:type="dxa"/>
            <w:tcBorders/>
            <w:shd w:fill="CFF0FC" w:val="clear"/>
            <w:vAlign w:val="center"/>
          </w:tcPr>
          <w:p>
            <w:pPr>
              <w:pStyle w:val="TableContents"/>
              <w:bidi w:val="0"/>
              <w:spacing w:before="0" w:after="283"/>
              <w:jc w:val="lef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(60,366</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(28,893</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by operations:</w:t>
            </w:r>
          </w:p>
        </w:tc>
        <w:tc>
          <w:tcPr>
            <w:tcW w:w="346" w:type="dxa"/>
            <w:tcBorders/>
            <w:shd w:fill="CFF0FC" w:val="clear"/>
            <w:vAlign w:val="center"/>
          </w:tcPr>
          <w:p>
            <w:pPr>
              <w:pStyle w:val="TableContents"/>
              <w:bidi w:val="0"/>
              <w:spacing w:before="0" w:after="283"/>
              <w:jc w:val="lef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discounts on available-for-sale marketable securities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w:t>
            </w:r>
          </w:p>
        </w:tc>
        <w:tc>
          <w:tcPr>
            <w:tcW w:w="1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 and other current assets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compensation</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license expense</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revenue – related party</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(7,025</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(52,410</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(36,113</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available-for-sale marketable securities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(54,847</w:t>
            </w:r>
          </w:p>
        </w:tc>
        <w:tc>
          <w:tcPr>
            <w:tcW w:w="1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(56,495</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maturities of available-for-sale marketable securities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sales of available-for-sale marketable securities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investing activities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(8,785</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(14,097</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redeemable convertible preferred stock, net of issuance costs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59,900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common stock options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paid on finance lease liabilities</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deferred offering costs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financing activities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58,118</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11,880</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 and restricted cash</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1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(38,330</w:t>
            </w:r>
          </w:p>
        </w:tc>
        <w:tc>
          <w:tcPr>
            <w:tcW w:w="8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3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3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statement of</w:t>
              <w:br/>
              <w:t>   financial position</w:t>
            </w:r>
          </w:p>
        </w:tc>
        <w:tc>
          <w:tcPr>
            <w:tcW w:w="346" w:type="dxa"/>
            <w:tcBorders/>
            <w:shd w:fill="CFF0FC" w:val="clear"/>
            <w:vAlign w:val="center"/>
          </w:tcPr>
          <w:p>
            <w:pPr>
              <w:pStyle w:val="TableContents"/>
              <w:bidi w:val="0"/>
              <w:spacing w:before="0" w:after="283"/>
              <w:jc w:val="lef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37,735</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346" w:type="dxa"/>
            <w:tcBorders/>
            <w:shd w:fill="FFFFFF" w:val="cle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35,212</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38,289</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for non-cash investing and financing activities</w:t>
            </w:r>
          </w:p>
        </w:tc>
        <w:tc>
          <w:tcPr>
            <w:tcW w:w="346" w:type="dxa"/>
            <w:tcBorders/>
            <w:shd w:fill="CFF0FC" w:val="clear"/>
            <w:vAlign w:val="center"/>
          </w:tcPr>
          <w:p>
            <w:pPr>
              <w:pStyle w:val="TableContents"/>
              <w:bidi w:val="0"/>
              <w:spacing w:before="0" w:after="283"/>
              <w:jc w:val="lef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894"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deferred offering costs included in accounts payable and other current</w:t>
              <w:br/>
              <w:t>   liabilities</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 in accounts payable</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w:t>
            </w:r>
          </w:p>
        </w:tc>
        <w:tc>
          <w:tcPr>
            <w:tcW w:w="3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obtained in exchange for operating and finance lease liability</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6,326</w:t>
            </w:r>
          </w:p>
        </w:tc>
        <w:tc>
          <w:tcPr>
            <w:tcW w:w="81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FFFFFF" w:val="clear"/>
            <w:vAlign w:val="center"/>
          </w:tcPr>
          <w:p>
            <w:pPr>
              <w:pStyle w:val="TableContents"/>
              <w:bidi w:val="0"/>
              <w:spacing w:before="0" w:after="283"/>
              <w:jc w:val="lef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894"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3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8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231F20"/>
          <w:sz w:val="20"/>
        </w:rPr>
      </w:pPr>
      <w:r>
        <w:rPr>
          <w:rFonts w:ascii="Times New Roman" w:hAnsi="Times New Roman"/>
          <w:i/>
          <w:color w:val="231F2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left"/>
        <w:rPr>
          <w:rFonts w:ascii="Times New Roman" w:hAnsi="Times New Roman"/>
          <w:b/>
          <w:color w:val="000000"/>
          <w:sz w:val="20"/>
        </w:rPr>
      </w:pPr>
      <w:bookmarkStart w:id="31" w:name="notes_to_the_financial_statements"/>
      <w:bookmarkEnd w:id="31"/>
      <w:r>
        <w:rPr>
          <w:rFonts w:ascii="Times New Roman" w:hAnsi="Times New Roman"/>
          <w:b/>
          <w:color w:val="000000"/>
          <w:sz w:val="20"/>
        </w:rPr>
        <w:t>Notes to the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 Organization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Kyverna Therapeutics, Inc. (“Kyverna” or “the Company”) is a patient-centered, clinical-stage biopharmaceutical company focused on developing cell therapies for patients suffering from autoimmune diseases. The lead product candidate, KYV-101, is advancing through clinical development across two broad areas of autoimmune disease: rheumatology and neurology. The Company was incorporated on June 14, 2018, was initially named BAIT Therapeutics, Inc., changed its name to Kyverna Therapeutics, Inc. on October 1, 2019, and is headquartered in Emeryville, California.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7, 2024, the Company’s Registration Statement on Form S-1 for its initial public offering (the “IPO”) was declared effective, and on February 12, 2024, the Company closed the IPO and issued 16,675,000 shares of common stock at a price to the public of $22.00 per share, including 2,175,000 shares issued upon the exercise of underwriters’ option to purchase additional shares of common stock. The Company received gross proceeds of $366.9 million. Net proceeds were approximately $336.2 million, after deducting underwriting discounts and commissions and estimated other offering costs totaling approximately $30.7 million. On February 8, 2024, the Company’s common stock began trading on the Nasdaq Global Select Market under the symbol “KYTX”. Immediately prior to the IPO closing, all of the outstanding shares of the Company’s redeemable convertible preferred stock converted into shares of the Company’s common stock on a 1-for-4.5511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2024, the Company’s shareholders approved and the Company effected a reverse stock split of the shares of common stock at a ratio of 1-for-4.5511 (the “Reverse Stock Split”). The number of authorized shares and par value per share were not adjusted as a result of the Reverse Stock Split. All references to shares, restricted stock awards, restricted stock units and options to purchase common stock, share data, per share data, and related information contained in the financial statements have been retrospectively adjusted to reflect the effect of the Reverse Stock Split for all periods presented. The conversion ratios for each series of the Company’s redeemable convertible preferred stock, which was automatically converted into shares of common stock upon the closing of the IPO, were proportionally adjusted.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losses and negative cash flows from operations since inception. As of December 31, 2023, the Company has an accumulated deficit of approximately $136.0 million. The Company had net losses of $60.4 million and $28.9 million 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historically financed its operations primarily through issuances of redeemable convertible preferred stock and convertible notes and revenue from its collaboration agreement. As of December 31, 2023, the Company had cash and cash equivalents and available-for-sale marketable securities of $57.5 million. On February 12, 2024, the Company closed the IPO and received gross proceeds of $366.9 million. Net proceeds were approximately $336.2 million, after deducting underwriting discounts and commissions and estimated other offering costs. The Company expects to continue to incur operating losses and negative cash flows from operations to support the development of its product candidates, for the expansion of its product portfolio and to continue its research and development activities, including preclinical studies and clinical trials. The Company’s activities are subject to significant risks and uncertainties, including completing requisite clinical activities to support regulatory approvals, market acceptance of the Company’s product candidates, if approved, as well as the timing and extent of spending on research and development. There can be no assurance that the Company will ever earn revenue or achieve profitability, or if achieved, that the revenue or profitability will be sustained on a continuing basis. Unless and until it does, the Company will need to continue to raise additional capital. Based on its current operating plan, management estimates that its existing cash and cash equivalents, including the proceeds from the IPO,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sufficient to fund its operating plan and capital expenditure requirements for at least the next 12 months from the date of issuance of these financial statements.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financial statements have been prepared in accordance with accounting principles generally accepted in the United States (“GAAP”).</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reference in these notes to applicable guidance is meant to refer to the authoritative GAAP as found in the Accounting Standards Codification (“ASC”) and Accounting Standards Updates (“ASU”) of the Financial Accounting Standards Board (“FASB”).</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revenue and expenses during the reporting period. On an ongoing basis, the Company evaluates its estimates and assumptions, including those related to research and development accrued expenses, valuation of its common stock prior to the IPO, stock-based compensation,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Segment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operates and manages its business as one reportable and operating segment, which is the business of developing therapies for autoimmune and inflammatory diseases. The chief executive officer, who is the chief operating decision maker, reviews financial information on an aggregate basis for purposes of allocating resources and evaluating financial performance. All of the Company’s long-lived assets are located in the United States. All of the Company’s collaboration revenue was derived from a related-party customer headquartered in the United States.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Cash and Cash Equivalents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Cash and cash equivalents include cash in readily available checking accounts and money market funds. The Company considers all highly liquid investments purchased with an original maturity of three months or less to be cash equivalents.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Restricted Cash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each of December 31, 2023 and 2022, the Company had $0.6 million of long-term restricted cash held as security for the Company’s building lease. The entire amount is deposited with a financial institution and held in separate bank accounts.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Available-For-Sale Marketable Securities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Available-for-sale marketable securities as of December 31, 2023, consist of U.S treasury bills </w:t>
      </w:r>
      <w:r>
        <w:rPr>
          <w:rFonts w:ascii="Times New Roman" w:hAnsi="Times New Roman"/>
          <w:color w:val="000000"/>
          <w:sz w:val="20"/>
        </w:rPr>
        <w:t>with original maturities of greater than 90 days</w:t>
      </w:r>
      <w:r>
        <w:rPr>
          <w:rFonts w:ascii="Times New Roman" w:hAnsi="Times New Roman"/>
          <w:color w:val="231F20"/>
          <w:sz w:val="20"/>
        </w:rPr>
        <w:t xml:space="preserve">. As the Company’s entire investment portfolio is considered available for use in current operations, the Company classifies all investments as available-for-sale and as current assets, even though the stated maturity may be more than one year from the current balance sheet date. The Company carries available-for-sale marketable securities at fair value. Unrealized gains and losses on available-for-sale debt marketable securities are reported in accumulated other comprehensive loss, which is a separate component of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deficit. The cost of available-for-sale debt marketable securities is adjusted for amortization of premiums and accretion of discounts to maturity. The amortization and accretion are included in interest income together with interest and dividends. The cost of securities sold is based on the specific identification method.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 value that is credit-related. This assessment could change in the future due to new developments or changes in assumptions related to any particular security. Realized gains and losses, allowances for credit losses and impairments on available-for-sale securities, if any, are recorded to interest expense in the statements of operations and comprehensive loss. Interest receivable is recognized in prepaid expenses and other current assets on the balance sheet.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Concentrations of Credit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Cash, cash equivalents, restricted cash and available-for-sale marketable securities are financial instruments that potentially subject the Company to concentrations of credit risk. The Company’s cash and restricted cash were deposited with one financial institution, with deposit balances in excess of federally insured limits. As of December 31, 2023, the Company also had investments in money market funds and U.S. Treasury bills, which can be subject to certain credit risks. The Company mitigates the risks by investing in high-grade instruments, limiting its exposure to any one issuer and monitoring the ongoing creditworthiness of the financial institutions and issuers. The Company has not experienced any material losses on its financial instruments and has full access to and control over all of its cash, cash equivalents and available-for-sale marketable securities.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All of the Company’s collaboration revenue was derived from its collaboration, option and license agreement with Gilead Sciences, Inc. (the “Gilead Agreement”) (see Note 6).</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Other Risks and Uncertainties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is subject to certain risks and uncertainties, including, but not limited to, changes in any of the following areas that the Company believes could have a material adverse effect on its future financial position or results of operations: the Company’s ability to advance the development of its analytics platform and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Company’s business and operations may be affected by worldwide economic conditions, which may continue to be impacted by global macroeconomic challenges, such as the effects of the ongoing geopolitical conflicts in Ukraine and in Gaza, tensions in U.S.-China relations, uncertainty in the markets, including disruptions in the banking industry and inflationary trends.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Fair Value Measurement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and available-for-sale marketable securities, are measured at fair value at each reporting date (see Note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Deferred Finance Issuance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Deferred finance issuance costs, consisting of legal, accounting and other third-party fees directly relating to in-process equity financings or offerings, are capitalized. The deferred finance issuance costs are offset against offering proceeds upon the completion of the financing or the offering. The Company had $2.5 million and zero deferred finance issuance costs recorded as other non-current assets as of December 31, 2023 and 2022, respectively.</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Property and Equipment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Property and equipment are recorded at cost, net of accumulated depreciation and amortization. Depreciation is recorded using the straight-line method over the estimated useful lives of the assets. Property and equipment consisted almost exclusively of assets with useful lives of five years. Leasehold improvements are capitalized and amortized over the shorter of the expected life or lease term. Major replacements and improvements are capitalized, while general repairs and maintenance are expensed as incurred.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Company determines whether an arrangement is a lease at inception. Specifically, it considers whether it controls the underlying asset and has the right to obtain substantially all of the economic benefits or outputs from the asset. If the contractual arrangement contains a lease, the Company then determines the classification of the lease, operating or finance, using the classification criteria described in ASC Topic 842, </w:t>
      </w:r>
      <w:r>
        <w:rPr>
          <w:rFonts w:ascii="Times New Roman" w:hAnsi="Times New Roman"/>
          <w:i/>
          <w:color w:val="231F20"/>
          <w:sz w:val="20"/>
        </w:rPr>
        <w:t xml:space="preserve">Leases </w:t>
      </w:r>
      <w:r>
        <w:rPr>
          <w:rFonts w:ascii="Times New Roman" w:hAnsi="Times New Roman"/>
          <w:color w:val="231F20"/>
          <w:sz w:val="20"/>
        </w:rPr>
        <w:t>(“ASC 842”). Operating and finance lease right-of-use assets and liabilities are recognized at the lease commencement date based on the present value of lease payments over the lease term. Operating lease expense is recognized on a straight-line basis over the lease term. For finance leases, the right-of-use asset is amortized on a straight-line basis over the shorter of the useful life of the asset or the lease term, and interest expense on the lease liability is recorded separately using the interest method.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elected not to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12 months or less.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Acquisitions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evaluates acquisitions of assets and other similar transactions to assess whether the transaction should be accounted for as a business combination or an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test is not met, further determination is required as to whether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measures and recognizes asset acquisitions that are not deemed to be business combinations based on the cost to acquire the assets, which includes transaction costs. Goodwill is not recognized in asset acquisitions. In an asset acquisition, the cost allocated to acquire in-process research and development with no alternative future use is charged to research and development expense at the acquisition date.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Patent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patent-related costs incurred in connection with filing and prosecuting patent applications are expensed as incurred due to the uncertainty of the recovery of the expenditure. Amounts incurred are classified as general and administrative expenses in the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Impairment of Long-Lived Assets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reviews its long-lived assets, principally property and equipment and operating and finance right-of-use assets, for impairment whenever events or changes in business circumstances indicate the carrying amount of an asset may not be fully recoverable. Recoverability of assets held and used is measured by comparing the carrying amount of an asset to future net cash flows expected to be generated by the asset. If the Company determines that the carrying value of long-lived assets may not be recoverable, the impairment to be recognized is measured by the amount by which the carrying amount of the assets exceeds the fair value of the assets. Fair value is determined through various valuation techniques, principally discounted cash flow models, to assess the fair values of long-lived assets. The Company did not record any impairment of long-lived assets during the years ended December 31, 2023 and 2022.</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Redeemable Convertible Preferred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 records redeemable convertible preferred stock at fair value on the date of issuance, net of issuance costs. The redeemable convertible preferred stock is recorded separate from stockholders’ deficit because the shares contain deemed liquidation features that are not solely within the Company’s control. The holders of the preferred stock control a majority of the votes of the board of directors of the Company through direct representation. Accordingly, the preferred stock is classified as temporary equity in the Company’s balance sheets. The Company has not adjusted the carrying values of the redeemable convertible preferred stock to the liquidation preferences of such stock because it is uncertain whether or when a deemed liquidation event would occur that would obligate the Company to pay the liquidation preferences to holders of redeemable convertible preferred stock. Subsequent adjustments to the carrying values to the liquidation preferences will be made only when it becomes probable that such a deemed liquidation event will occur. In connection with the closing of the IPO in February 2024, all outstanding shares of redeemable convertible preferred stock were converted into shares of common stock on a 1-for-4.5511 basis.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Collaboration Arrangements and Contracts with Customers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January 2020, the Company entered into the Gilead Agreement (see Note 6). The Company concluded that the Gilead Agreement was in the scope of revenue recognition guidance, ASC Topic 606, </w:t>
      </w:r>
      <w:r>
        <w:rPr>
          <w:rFonts w:ascii="Times New Roman" w:hAnsi="Times New Roman"/>
          <w:i/>
          <w:color w:val="231F20"/>
          <w:sz w:val="20"/>
        </w:rPr>
        <w:t xml:space="preserve">Revenue from Contracts with Customers </w:t>
      </w:r>
      <w:r>
        <w:rPr>
          <w:rFonts w:ascii="Times New Roman" w:hAnsi="Times New Roman"/>
          <w:color w:val="231F20"/>
          <w:sz w:val="20"/>
        </w:rPr>
        <w:t>(“ASC 606”).</w:t>
      </w:r>
    </w:p>
    <w:p>
      <w:pPr>
        <w:pStyle w:val="TextBody"/>
        <w:bidi w:val="0"/>
        <w:spacing w:before="240" w:after="283"/>
        <w:jc w:val="left"/>
        <w:rPr>
          <w:rFonts w:ascii="Times New Roman" w:hAnsi="Times New Roman"/>
          <w:sz w:val="20"/>
        </w:rPr>
      </w:pPr>
      <w:r>
        <w:rPr>
          <w:rFonts w:ascii="Times New Roman" w:hAnsi="Times New Roman"/>
          <w:color w:val="231F20"/>
          <w:sz w:val="20"/>
        </w:rPr>
        <w:t>In accordance with ASC 606, revenue is recognized when a customer, or licensee, obtains control of promised goods or services (</w:t>
      </w:r>
      <w:r>
        <w:rPr>
          <w:rFonts w:ascii="Times New Roman" w:hAnsi="Times New Roman"/>
          <w:i/>
          <w:color w:val="231F20"/>
          <w:sz w:val="20"/>
        </w:rPr>
        <w:t>e.g</w:t>
      </w:r>
      <w:r>
        <w:rPr>
          <w:rFonts w:ascii="Times New Roman" w:hAnsi="Times New Roman"/>
          <w:color w:val="231F20"/>
          <w:sz w:val="20"/>
        </w:rPr>
        <w:t>., an intellectual property license or research services). The amount of revenue recognized reflects the consideration that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terms of revenue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and milestone and other contingent payments to the Company for the achievement of defined collaboration objectives and certain preclinical, clinical, regulatory and sales-based events, as well as royalties on sales of any commercialized products.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assesses whether the promises in its arrangements with customers, including any options provided to a customer,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Company’s collaboration and license agreements may include contingent payments related to specified research, development and regulatory milestones and payments related to sales-based milestones and royalties.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 Sales-based milestone payments and royalties are typically payable when annual sales of a covered product reach specified levels and sales occur. When an intellectual property license is determined to be a predominant promise in the arrangement, sales-based milestone payments and royalties are recognized at the later of when the associated performance obligation has been satisfied or when the sales occur. Unlike other contingency payments, such as regulatory milestone payments, sales-based milestone payments and royalties are not included in the transaction price based on estimates at the inception of the contract, but rather, are included when the sales or usage occur.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cases when an upfront payment contains material rights for the optional services the Company may provide in the future, the material right is treated as a separate performance obligation. The value allocated to such material right is deferred and recognized as revenue when the performance obligation is satisfied and the optional services are provided.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Contract Liabilities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Funds received in advance are recorded as deferred revenue, which is a contract liability, and are recognized as the related performance obligation is satisfied.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Research and Development Expenses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entered into various agreements with outsourced vendors, clinical manufacturing organizations (“CMOs”) and clinical research organizations (“CROs”).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accounts for stock-based compensation by measuring and recognizing compensation expense for all stock-based payments based on estimated grant-date fair values. For awards with service-based vesting conditions, the Company recognizes stock-based compensation expense on a straight-line basis over the requisite service or vesting period.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estimates the fair value of stock options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The Company accounts for forfeitures as they occur. The fair value of restricted stock awards granted to employees is valued as of the grant date using the estimated fair value of the Company’s common stock.</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Foreign Currency Transactions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statements of operations and comprehensive loss.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Net Loss Per Share Attributable to Common Stockholders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common stock subject to repurchase, unvested restricted stock units and stock options are considered to be potentially dilutive securities.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Basic and diluted net loss attributable to common stockholders per share is presented in conformity with the two-class method required for participating securities as the redeemable convertible preferred stock and common stock subject to repurchase are considered participating securities. The redeemable convertible preferred stock does not have a contractual obligation to share in the Company’s losses, and common stock subject to repurchase is considered an unvested stock-based compensation award for accounting purposes. As such, the net loss is attributed entirely to common stockholders. Because the Company has reported a net loss for the reporting periods presented, the diluted net loss per common share is the same as basic net loss per common share for those periods.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Comprehensive Loss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Comprehensive loss is comprised of net loss and other comprehensive loss. Other comprehensive loss represents unrealized gains and losses arising during the period on available-for-sale marketable securities.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Income Taxes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accounts for income taxes using the liability method; under this method, deferred tax assets and liabilities are determined based on differences between financial reporting and tax reporting basis of assets and liabilities and are 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if all or part of the net deferred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tax assets are determined not to be realizable in the future, an adjustment to the valuation allowance would be charged to the provision of income taxes in the period when such determination is made.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Recent Accounting Pronouncements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June 2016, the FASB issued ASU 2016-13, </w:t>
      </w:r>
      <w:r>
        <w:rPr>
          <w:rFonts w:ascii="Times New Roman" w:hAnsi="Times New Roman"/>
          <w:i/>
          <w:color w:val="231F20"/>
          <w:sz w:val="20"/>
        </w:rPr>
        <w:t xml:space="preserve">Financial Instruments—Credit Losses (Topic 326): Measurement of Credit Losses on Financial Instruments </w:t>
      </w:r>
      <w:r>
        <w:rPr>
          <w:rFonts w:ascii="Times New Roman" w:hAnsi="Times New Roman"/>
          <w:color w:val="231F20"/>
          <w:sz w:val="20"/>
        </w:rPr>
        <w:t>to amend the current accounting standard, which requires the measurement of all expected losses to be based on historical experience, current conditions and reasonable and supportable forecasts. For trade receivables, contract assets and other financial instruments, the Company will be required to use a forward-looking expected loss model that reflects probable losses rather than the incurred loss model for recognizing credit losses. The Company adopted this standard effective January 1, 2023, and amended its disclosures and accounting policy as related to available-for-sale marketable securities in accordance with the standard. There were no changes to the Company’s operating results, balance sheets and cash flows as a result of the adoption of this standard.</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August 2020, the FASB issued ASU 2020-06, </w:t>
      </w:r>
      <w:r>
        <w:rPr>
          <w:rFonts w:ascii="Times New Roman" w:hAnsi="Times New Roman"/>
          <w:i/>
          <w:color w:val="231F2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 w:hAnsi="Times New Roman"/>
          <w:color w:val="231F20"/>
          <w:sz w:val="20"/>
        </w:rPr>
        <w:t>(“ASU 2020-06”), which simplifies the accounting for certain financial instruments with characteristics of liabilities and equity, including convertible instruments and contracts on an entity’s own equity. Specifically, ASU 2020-06 simplifies accounting for the issuance of convertible instruments by removing major separation models required under current GAAP. In addition, the ASU removes certain settlement conditions that are required for equity contracts to qualify for the derivative scope exception and simplifies the diluted earnings per share calculation in certain areas. The Company adopted this standard effective January 1, 2023, which did not have an impact on the Company’s financial statements.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New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October 2023, the FASB issued ASU 2023-06, Disclosure Improvements: </w:t>
      </w:r>
      <w:r>
        <w:rPr>
          <w:rFonts w:ascii="Times New Roman" w:hAnsi="Times New Roman"/>
          <w:i/>
          <w:color w:val="231F20"/>
          <w:sz w:val="20"/>
        </w:rPr>
        <w:t>Codification Amendments in Response to the SEC’s Disclosure Update and Simplification Initiative</w:t>
      </w:r>
      <w:r>
        <w:rPr>
          <w:rFonts w:ascii="Times New Roman" w:hAnsi="Times New Roman"/>
          <w:color w:val="231F20"/>
          <w:sz w:val="20"/>
        </w:rPr>
        <w:t>. This ASU aligns the requirements in the ASC to the removal of certain disclosure requirements set out in Regulation S-X and Regulation S-K, announced by the Securities and Exchange Commission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the adoption of this standard on its financial statements.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November 2023, the FASB issued ASU 2023-07, Segment Reporting (Topic 280): </w:t>
      </w:r>
      <w:r>
        <w:rPr>
          <w:rFonts w:ascii="Times New Roman" w:hAnsi="Times New Roman"/>
          <w:i/>
          <w:color w:val="231F20"/>
          <w:sz w:val="20"/>
        </w:rPr>
        <w:t>Improvements to Reportable Segment Disclosures</w:t>
      </w:r>
      <w:r>
        <w:rPr>
          <w:rFonts w:ascii="Times New Roman" w:hAnsi="Times New Roman"/>
          <w:color w:val="231F20"/>
          <w:sz w:val="20"/>
        </w:rPr>
        <w:t>. This ASU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the adoption of this standard on its financial statements.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December 2023, the FASB issued ASU 2023-09, Income Taxes (Topic 740): </w:t>
      </w:r>
      <w:r>
        <w:rPr>
          <w:rFonts w:ascii="Times New Roman" w:hAnsi="Times New Roman"/>
          <w:i/>
          <w:color w:val="231F20"/>
          <w:sz w:val="20"/>
        </w:rPr>
        <w:t>Improvements to Income Tax Disclosures</w:t>
      </w:r>
      <w:r>
        <w:rPr>
          <w:rFonts w:ascii="Times New Roman" w:hAnsi="Times New Roman"/>
          <w:color w:val="231F20"/>
          <w:sz w:val="20"/>
        </w:rPr>
        <w:t xml:space="preserve">. This ASU requires public entities, on an annual basis, to provide disclosure of specific categories in the rate reconciliation, as well as disclosure of income taxes paid disaggregated by jurisdiction. ASU 2023-09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effective for fiscal years beginning after December 15, 2024, with early adoption permitted. The Company is currently evaluating the impact the adoption of this standard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 and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fair value hierarchy for its cash equivalents and available-for-sale marketable securities measured at fair value on a recurring basis as of December 31, 2023, was as follows (in thousands):</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211"/>
        <w:gridCol w:w="676"/>
        <w:gridCol w:w="146"/>
        <w:gridCol w:w="146"/>
        <w:gridCol w:w="211"/>
        <w:gridCol w:w="676"/>
        <w:gridCol w:w="146"/>
        <w:gridCol w:w="146"/>
        <w:gridCol w:w="239"/>
        <w:gridCol w:w="391"/>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fair value hierarchy for its cash equivalents and available-for-sale marketable securities measured at fair value on a recurring basis as of December 31, 2022, was as follows (in thousands):</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211"/>
        <w:gridCol w:w="676"/>
        <w:gridCol w:w="146"/>
        <w:gridCol w:w="146"/>
        <w:gridCol w:w="211"/>
        <w:gridCol w:w="676"/>
        <w:gridCol w:w="146"/>
        <w:gridCol w:w="146"/>
        <w:gridCol w:w="239"/>
        <w:gridCol w:w="391"/>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Financial assets measured at fair value on a recurring basis consist of the Company’s cash equivalents and available-for-sale marketable securities. Cash equivalents consisted of money market funds, and available-for-sale marketable securities consisted of U.S. Treasury notes and bills.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available-for-sale marketable securities consisted entirely of debt securities issued by the U.S. Treasury with contractual maturities on various dates through February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amortized cost, unrealized gains and losses and fair value of the Company’s available-for-sale marketable securities as of December 31, 2023 (in thousands):</w:t>
      </w:r>
    </w:p>
    <w:p>
      <w:pPr>
        <w:pStyle w:val="TextBody"/>
        <w:bidi w:val="0"/>
        <w:jc w:val="left"/>
        <w:rPr/>
      </w:pPr>
      <w:r>
        <w:rPr/>
        <w:t> </w:t>
      </w:r>
    </w:p>
    <w:tbl>
      <w:tblPr>
        <w:tblW w:w="8495"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443"/>
        <w:gridCol w:w="443"/>
        <w:gridCol w:w="146"/>
        <w:gridCol w:w="146"/>
        <w:gridCol w:w="335"/>
        <w:gridCol w:w="551"/>
        <w:gridCol w:w="146"/>
        <w:gridCol w:w="146"/>
        <w:gridCol w:w="211"/>
        <w:gridCol w:w="67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 for sale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amortized cost, unrealized gains and losses and fair value of the Company’s available-for-sale marketable securities as of December 31, 2022 (in thousands):</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335"/>
        <w:gridCol w:w="551"/>
        <w:gridCol w:w="146"/>
        <w:gridCol w:w="146"/>
        <w:gridCol w:w="318"/>
        <w:gridCol w:w="568"/>
        <w:gridCol w:w="166"/>
        <w:gridCol w:w="146"/>
        <w:gridCol w:w="211"/>
        <w:gridCol w:w="67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 for sale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2023 and 2022, no significant facts or circumstances were present to indicate a deterioration in the creditworthiness of the issuers of the Company’s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by such conditions. For all securities with a fair value less than its amortized cost basis, the Company determined the decline in fair value below amortized cost basis to be immaterial and non-credit related, and therefore no allowance for losses has been recorded. During the years ended December 31, 2023 and 2022, the Company did not recognize any impairment losses on its investments.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each of December 31, 2023 and 2022, accrued interest receivable was zero and less than $0.1 million, respectively. The Company’s accounting policy is to not measure an allowance for credit losses for accrued interest receivables and to write-off any uncollectible accrued interest receivable as a reversal of interest income in a timely manner, which it considers to be in the period in which the Company determines the accrued interest will not be collected. The Company has not written off any accrued interest receivables for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11"/>
        <w:gridCol w:w="63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3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3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related to property and equipment was approximately $0.9 million and $0.8 million for the years ended December 31, 2023 and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Significant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Gilead Collaboration, Option and License Agreement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2020, the Company entered into the Collaboration, Option and License Agreement (the “Gilead Agreement”) with Gilead Sciences, Inc. (“Gilead”). Simultaneously with the entry into the Gilead Agreement, the Company entered into (i) a License Agreement (the “Kite Agreement”) with Kite Pharma, Inc. (“Kite”), an affiliate of Gilead (see below), and (ii) a stock purchase agreement, pursuant to which the Company issued to Gilead an aggregate of 6,890,744 shares of its Series A-2 Preferred Stock, of which 4,042,066 shares were issued as consideration under the Kite Agreement (see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Gilead Agreement, the Company and Gilead collaborated to develop potential cell-based therapy products, which could use the SynNotch Technology and the SynNotch intellectual property related thereto, controlled by Gilead through Kite, for the treatment, diagnosis or prevention of autoimmune, inflammatory, or allogeneic stem cell transplant inflammatory diseases (excluding post-transplant infectious diseases), subject to certain exceptions. 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 Upon execution of the Gilead Agreement, Gilead paid the Company a one-time, non-refundable and non-creditable payment of $17.5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Gilead Agreement, the Company also granted Gilead, on a research program-by-program basis, an exclusive option, exercisable at any time during the Option Period for such program, to obtain an exclusive license under such program’s intellectual property to develop, manufacture, and commercialize optioned products belonging to such program for a specified fee and on the terms and conditions set out in the Gilead Agreement. For purposes of the foregoing, an Option Period meant, on a program-by-program basis, the period commencing on the date of execution of the Gilead Agreement and ending upon the earlier of (i) the expiration of the review period for such program, and (ii) the ten-year anniversary of the date of execution of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the Gilead Agreement was to expire, with respect to each program, (i) upon such program becoming a terminated program, or (ii) on an optioned product-by-optioned product and country-by-country basis, upon the expiration of the royalty term with respect to such optioned product in such country with respect to such program. Gilead had the right to terminate the Gilead Agreement at will, in its sole discretion, in its entirety or on a program-by-program or optioned program-by-optioned program basis at any time upon ninety days’ prior written notice to the Company. In addition, either party was able to terminate the Gilead Agreement for uncured material breach by the other party, or upon the occurrence of insolvency-related events of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term under the Gilead Agreement continued on an optioned product-by-optioned product and country-by-country basis until the latest of: (i) the date on which there is no valid claim of a program patent; (ii) the expiration of any regulatory exclusivity with respect to such optioned product in the relevant country; and (iii) the ten-year anniversary of the date of the first commercial sale of such optioned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Gilead Agreement was in the scope of ASC Topic 606. The Company estimated the transaction price as $17.5 million, which was allocated to two performance obligations, Program A and Program B, based on the relative fair value of each program. Other milestone payments were constrained and not included in the transaction price as they were considered not probable as of December 31, 2022. The Company recognized $7.0 million as collaboration revenue during the year ended December 31, 2022. On November 30, 2022, after the completion of research activities under Program A and Program B, Gilead provided the Company with notice that Program A and Program B were terminated. As of December 31, 2023 and 2022, there were no other active programs under the Gilead Agreement and deferred revenue was zero. Deferred revenue as of December 31, 2021 was $7.0 million, which was fully recognized as collaboration revenue during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24, 2023, after agreement by both parties that the Gilead Agreement had no active programs, Gilead provided the Company with 90 days’ written notice to terminate the Gilead Agreement, and such termination became effective as of January 22,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Kite License Agreement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Concurrently with the Gilead Agreement, the Company entered into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Kite had licensed certain of the SynNotch technology included in the Kite Agreement pursuant to that certain Amended and Restated Exclusive License Agreement, between The Regents of the University of California and Kite (as successor to Cell Design Labs, Inc.), or the UCSF License Agreement. The Company is responsible for all costs and payments arising under the UCSF License Agreement and as a result of activities under the Kite Agreement, including earned royalties based on a low single-digit percentage of net sales, milestone payments in an aggregate amount of up to $10.8 million and accrued interest payables.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Kite Agreement, the Company is also obligated to pay mid-teen-and mid-single-digit percentages of annual maintenance fees, minimum annual royalties and patent prosecution costs payable under the UCSF License Agreement during the co-exclusive term and non-exclusive term, respectively. The Company was also obligated to pay a $6.3 million sublicensing fee under the UCSF License Agreement, which the Company agreed to offset with future milestone payments payable by Gilead under the Gilead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the Kite Agreement will expire upon the expiration of all licensed patents and Kite improvement patents therein. The Company has the right to terminate the Kite Agreement at will, in the Company’s sole discretion, in its entirety upon 90 days’ written notice to Kite. In addition, either party may terminate the Kite Agreement for uncured material breach by the other party, or upon the occurrence of insolvency-related events of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2020, as a consideration for the license, the Company issued to Gilead an aggregate of 4,042,066 shares of Series A-2 Preferred Stock at a price per share of $0.8776, which was the purchase price paid by other investors in the Series A-2 Preferred Stock financing, for a total of $3.5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the co-exclusive license under the Kite Agreement, including patent rights and know-how, was accounted for as an asset acquisition. As the acquired technology did not have an alternative use for accounting purposes, the license consideration of $3.5 million and the sublicensing fee of $6.3 million was recorded as a research and development expense in the statements of operations and comprehensive loss for the year ended December 31,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 Company recognized the total sublicensing fee of $6.3 million as current accrued license expense—related party, of which $2.5 million became payable as a result of the qualified financing. The Company expects to pay such amount of $2.5 million by mid-2024. The remaining $3.8 million was available to be offset against future milestones payable by Gilead under the Gilead Agreement; however, due to the termination of the Gilead Agreement, there are no future milestones payable to offset the sublicensing fee, and the payment schedule for the remaining $3.8 million of the sublicensing fee has not been agreed to by the Company and Gilead.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annual maintenance fee, patent prosecution costs and minimal annual royalties are expensed as incurred and were minimal for each of the years ended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Intellia License and Collaboration Agreement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proof-of-concept clinical trials, including the performance of activities as agreed in the collaboration plan. Pursuant to the Intellia Agreement, Intellia granted to the Company an exclusive, worldwide, sublicensable in multiple tiers, royalty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bearing license under certain of Intellia’s intellectual property to research, develop, sell and otherwise exploit the CRISPR Product. The Company is performing the majority of the work under the collaboration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licenses granted to the Company pursuant to the Intellia Agreement, the Company issued to Intellia 3,739,515 shares of its Series B Preferred Stock at a price of $1.8719 per share, which was the price paid by other investors in the Company’s Series B Preferred Stock financing, for consideration of $7.0 million. Intellia also purchased 1,602,649 shares of Series B Preferred Stock at a price of $1.8719 per share under the Series B Preferred Stock Purchase Agreement in cash for total proceeds to the Company of $3.0 million. The Company is also obligated to make aggregate milestone payments to Intellia of up to $64.5 million upon the achievement of specified development and regulatory milestones and is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granted Intellia an exclusive option (the “Intellia Option”) to enter into a co-development and co-commercialization agreement with the Company for the CRISPR Product, (the “Co-Co 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 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milestone payments were probable or payable as of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License Agreements with the National Institutes of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Upfront consideration of $3.3 million for acquired licenses, was paid 50% in July 2021 and the remaining 50% in May 2022 in accordance with the terms of the NIH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a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mid-single-digit percentage if the product has received FDA approval or foreign-equivalent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sooner, the NIH Agreements remain in effect until the last licensed patent right granted pursuant to the respective agreement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No benchmark royalties were probable or payable as of December 31, 2023 and 2022.</w:t>
      </w:r>
    </w:p>
    <w:p>
      <w:pPr>
        <w:pStyle w:val="TextBody"/>
        <w:bidi w:val="0"/>
        <w:spacing w:before="36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i/>
          <w:color w:val="000000"/>
          <w:sz w:val="20"/>
        </w:rPr>
        <w:t>Commitments and Contingent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license agreements with the NIH, Intellia and Kite (see Note 6), pursuant to which the Company is required to pay certain milestone payments contingent upon the achievement of specific development and regulatory events. No such milestones were achieved or probable as of December 31, 2023 and 2022. The Company is required to pay royalties on sales of products developed under these agreements. The Company’s product candidates were in clinical trials or the pre-clinical stage of development as of December 31, 2023 and 2022, and no such royalties were due.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 Management is not aware of any legal matters that could have a material adverse effect on the Company’s financial position, results of operations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been required to defend any action related to its indemnification obligations. As of December 31, 2023 and 2022, the Company does not have any material indemnification claims that were probable or reasonably possible.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Company entered into a five-year operating lease agreement for a 17,628 square feet facility in Emeryville, California, which lease term commenced in October 2020. In November 2021, the agreement was amended to extend the lease term for an additional 15 months through January 2027. The amended agreement also provides for an additional 15,736 square feet of space (the “Expansion Space”) and includes an option to extend the lease for an additional 36 months. The Company obtained 9,512 square feet of the Expansion Space in January 2022 and the remaining 6,224 square feet in September 2022. The November 2021 lease term extension was accounted for as a lease modification with the right-of-use asset and lease liability being remeasured at the modification date. The two extension space modifications were accounted for as separate leases. The Company does not believe that the option to extend the lease is reasonably certain of being exercised, and therefore did not include it in the computations of the present value of the remaining lease payments at lease commencement. In addition to the base rent, which includes escalating payments over the lease term, the Company pays variable costs related to operating expenses and taxes, which are recognized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multiple leases for laboratory equipment with terms of 36 months that are accounted for as finance leases. Some of the Company’s office and lab space were leased under short-term lease agreements during the years ended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Components of the lease expense for the years ended December 31, 2023 and 2022, were as follows (in thousands):</w:t>
      </w:r>
    </w:p>
    <w:p>
      <w:pPr>
        <w:pStyle w:val="TextBody"/>
        <w:bidi w:val="0"/>
        <w:jc w:val="left"/>
        <w:rPr/>
      </w:pPr>
      <w:r>
        <w:rPr/>
        <w:t> </w:t>
      </w:r>
    </w:p>
    <w:tbl>
      <w:tblPr>
        <w:tblW w:w="5642" w:type="dxa"/>
        <w:jc w:val="left"/>
        <w:tblInd w:w="0" w:type="dxa"/>
        <w:tblLayout w:type="fixed"/>
        <w:tblCellMar>
          <w:top w:w="28" w:type="dxa"/>
          <w:left w:w="28" w:type="dxa"/>
          <w:bottom w:w="28" w:type="dxa"/>
          <w:right w:w="28" w:type="dxa"/>
        </w:tblCellMar>
      </w:tblPr>
      <w:tblGrid>
        <w:gridCol w:w="3111"/>
        <w:gridCol w:w="146"/>
        <w:gridCol w:w="226"/>
        <w:gridCol w:w="614"/>
        <w:gridCol w:w="157"/>
        <w:gridCol w:w="157"/>
        <w:gridCol w:w="226"/>
        <w:gridCol w:w="614"/>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for the years ended December 31, 2023 and 2022 (in thousands):</w:t>
      </w:r>
    </w:p>
    <w:p>
      <w:pPr>
        <w:pStyle w:val="TextBody"/>
        <w:bidi w:val="0"/>
        <w:jc w:val="left"/>
        <w:rPr/>
      </w:pPr>
      <w:r>
        <w:rPr/>
        <w:t> </w:t>
      </w:r>
    </w:p>
    <w:tbl>
      <w:tblPr>
        <w:tblW w:w="6852" w:type="dxa"/>
        <w:jc w:val="left"/>
        <w:tblInd w:w="0" w:type="dxa"/>
        <w:tblLayout w:type="fixed"/>
        <w:tblCellMar>
          <w:top w:w="28" w:type="dxa"/>
          <w:left w:w="28" w:type="dxa"/>
          <w:bottom w:w="28" w:type="dxa"/>
          <w:right w:w="28" w:type="dxa"/>
        </w:tblCellMar>
      </w:tblPr>
      <w:tblGrid>
        <w:gridCol w:w="4321"/>
        <w:gridCol w:w="146"/>
        <w:gridCol w:w="226"/>
        <w:gridCol w:w="614"/>
        <w:gridCol w:w="157"/>
        <w:gridCol w:w="157"/>
        <w:gridCol w:w="226"/>
        <w:gridCol w:w="614"/>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w:t>
              <w:br/>
              <w:t>   of lease liabilities:</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w:t>
              <w:br/>
              <w:t>   obligations upon inception of lease (noncash):</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color w:val="000000"/>
              </w:rPr>
            </w:pPr>
            <w:r>
              <w:rPr>
                <w:color w:val="00000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is a schedule by year of future payments of the Company’s lease liabilities as of December 31, 2023 (in thousands):</w:t>
      </w:r>
    </w:p>
    <w:p>
      <w:pPr>
        <w:pStyle w:val="TextBody"/>
        <w:bidi w:val="0"/>
        <w:jc w:val="left"/>
        <w:rPr/>
      </w:pPr>
      <w:r>
        <w:rPr/>
        <w:t> </w:t>
      </w:r>
    </w:p>
    <w:tbl>
      <w:tblPr>
        <w:tblW w:w="6005" w:type="dxa"/>
        <w:jc w:val="left"/>
        <w:tblInd w:w="0" w:type="dxa"/>
        <w:tblLayout w:type="fixed"/>
        <w:tblCellMar>
          <w:top w:w="28" w:type="dxa"/>
          <w:left w:w="28" w:type="dxa"/>
          <w:bottom w:w="28" w:type="dxa"/>
          <w:right w:w="28" w:type="dxa"/>
        </w:tblCellMar>
      </w:tblPr>
      <w:tblGrid>
        <w:gridCol w:w="2586"/>
        <w:gridCol w:w="146"/>
        <w:gridCol w:w="341"/>
        <w:gridCol w:w="1024"/>
        <w:gridCol w:w="166"/>
        <w:gridCol w:w="146"/>
        <w:gridCol w:w="320"/>
        <w:gridCol w:w="865"/>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411" w:type="dxa"/>
            <w:tcBorders/>
            <w:shd w:fill="CFF0FC" w:val="cle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411" w:type="dxa"/>
            <w:tcBorders/>
            <w:shd w:fill="FFFFFF" w:val="cle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shd w:fill="CFF0FC" w:val="cle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liability balance</w:t>
            </w:r>
          </w:p>
        </w:tc>
        <w:tc>
          <w:tcPr>
            <w:tcW w:w="146" w:type="dxa"/>
            <w:tcBorders/>
            <w:shd w:fill="CFF0FC" w:val="clear"/>
            <w:vAlign w:val="center"/>
          </w:tcPr>
          <w:p>
            <w:pPr>
              <w:pStyle w:val="TableContents"/>
              <w:bidi w:val="0"/>
              <w:spacing w:before="0" w:after="283"/>
              <w:jc w:val="left"/>
              <w:rPr/>
            </w:pPr>
            <w:r>
              <w:rPr/>
              <w:t> </w:t>
            </w:r>
          </w:p>
        </w:tc>
        <w:tc>
          <w:tcPr>
            <w:tcW w:w="3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weighted-average remaining lease term and discount rate related to the Company’s operating lease liabilities as of December 31, 2023, were 3.1 years and 8%, respectively. The weighted-average remaining lease term and discount rate related to the Company’s finance lease liabilities as of December 31, 2023, were 2.0 years and 11%, respectively. The weighted-average remaining lease term and discount rate related to the Company’s operating lease liabilities as of December 31, 2022, were 4.1 years and 8%, respectively. The weighted-average remaining lease term and discount rate related to the Company’s finance lease liabilities as of December 31, 2022, were 2.6 years and 10%, respectively. The discount rates were based on the Company’s estimate of its incremental borrowing rate, as the discount rates implicit in the leases could not be readily determined. As the Company does not have any outstanding debt, the Company estimated the incremental borrowing rate based on its estimated credit rating and available market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the Company’s certificate of incorporation authorized the Company to issue up to 114,556,997 and 97,462,067 shares of redeemable convertible preferred stock, respectively, at a par value of $0.00001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2022, the Company amended its Series B Preferred Stock Purchase Agreement and issued additional 6,410,597 shares of Series B redeemable convertible preferred stock (“Series B Preferred Stock”) to new investors for an aggregate cash consideration of $12.0 million at a purchase price of $1.8719 per share. Issuance costs were less than $0.1 million, which were recorded as a reduction to the proceeds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and July 2023, the Company issued 32,052,994 additional shares of Series B Preferred Stock to existing and new investors for an aggregate cash consideration of $60.0 million at a price per share of $1.8719, net of $0.1 million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IPO in February 2024, all outstanding shares of the Company’s redeemable convertible preferred stock automatically converted into 25,171,265 shares of common stock. Subsequent to the closing of the IPO, there were no shares of redeemable convertible preferred stock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Redeemable convertible preferred stock as of December 31, 2023 and 2022, consisted of the following (in thousands, except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157"/>
        <w:gridCol w:w="1229"/>
        <w:gridCol w:w="146"/>
        <w:gridCol w:w="146"/>
        <w:gridCol w:w="222"/>
        <w:gridCol w:w="1742"/>
        <w:gridCol w:w="146"/>
        <w:gridCol w:w="146"/>
        <w:gridCol w:w="431"/>
        <w:gridCol w:w="1598"/>
        <w:gridCol w:w="146"/>
        <w:gridCol w:w="146"/>
        <w:gridCol w:w="287"/>
        <w:gridCol w:w="1065"/>
        <w:gridCol w:w="19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redeemable convertible</w:t>
              <w:br/>
              <w:t>   preferred stock</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96" w:type="dxa"/>
            <w:tcBorders/>
            <w:shd w:fill="CFF0FC" w:val="clear"/>
            <w:vAlign w:val="center"/>
          </w:tcPr>
          <w:p>
            <w:pPr>
              <w:pStyle w:val="TableContents"/>
              <w:bidi w:val="0"/>
              <w:spacing w:before="0" w:after="283"/>
              <w:jc w:val="left"/>
              <w:rPr/>
            </w:pPr>
            <w:r>
              <w:rPr/>
              <w:t> </w:t>
            </w:r>
          </w:p>
        </w:tc>
      </w:tr>
      <w:tr>
        <w:trPr/>
        <w:tc>
          <w:tcPr>
            <w:tcW w:w="2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redeemable convertible</w:t>
              <w:br/>
              <w:t>   preferred stock</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1" w:type="dxa"/>
            <w:tcBorders/>
            <w:shd w:fill="FFFFFF" w:val="clear"/>
            <w:vAlign w:val="center"/>
          </w:tcPr>
          <w:p>
            <w:pPr>
              <w:pStyle w:val="TableContents"/>
              <w:bidi w:val="0"/>
              <w:spacing w:before="0" w:after="283"/>
              <w:jc w:val="left"/>
              <w:rPr/>
            </w:pPr>
            <w:r>
              <w:rPr/>
              <w:t> </w:t>
            </w:r>
          </w:p>
        </w:tc>
        <w:tc>
          <w:tcPr>
            <w:tcW w:w="15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21,490</w:t>
            </w:r>
          </w:p>
        </w:tc>
        <w:tc>
          <w:tcPr>
            <w:tcW w:w="196" w:type="dxa"/>
            <w:tcBorders/>
            <w:shd w:fill="FFFFFF" w:val="clear"/>
            <w:vAlign w:val="center"/>
          </w:tcPr>
          <w:p>
            <w:pPr>
              <w:pStyle w:val="TableContents"/>
              <w:bidi w:val="0"/>
              <w:spacing w:before="0" w:after="283"/>
              <w:jc w:val="left"/>
              <w:rPr/>
            </w:pPr>
            <w:r>
              <w:rPr/>
              <w:t> </w:t>
            </w:r>
          </w:p>
        </w:tc>
      </w:tr>
      <w:tr>
        <w:trPr/>
        <w:tc>
          <w:tcPr>
            <w:tcW w:w="2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w:t>
              <w:br/>
              <w:t>   preferred stock</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81,200,909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81,200,909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redeemable convertible</w:t>
              <w:br/>
              <w:t>   preferred stock</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114,556,997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114,556,997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1"/>
        <w:gridCol w:w="146"/>
        <w:gridCol w:w="166"/>
        <w:gridCol w:w="1187"/>
        <w:gridCol w:w="146"/>
        <w:gridCol w:w="146"/>
        <w:gridCol w:w="240"/>
        <w:gridCol w:w="1704"/>
        <w:gridCol w:w="146"/>
        <w:gridCol w:w="146"/>
        <w:gridCol w:w="435"/>
        <w:gridCol w:w="1615"/>
        <w:gridCol w:w="146"/>
        <w:gridCol w:w="146"/>
        <w:gridCol w:w="289"/>
        <w:gridCol w:w="1071"/>
        <w:gridCol w:w="195"/>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redeemable convertible</w:t>
              <w:br/>
              <w:t>   preferred stock</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1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17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95"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redeemable convertible</w:t>
              <w:br/>
              <w:t>   preferred stock</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5"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21,490</w:t>
            </w:r>
          </w:p>
        </w:tc>
        <w:tc>
          <w:tcPr>
            <w:tcW w:w="195"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w:t>
              <w:br/>
              <w:t>   preferred stock</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64,105,979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49,147,915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91,488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redeemable convertible</w:t>
              <w:br/>
              <w:t>   preferred stock</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97,462,067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82,504,003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2023, the holders of the Company’s Series A-1 redeemable convertible preferred stock (“Series A-1 Preferred Stock”), Series A-2 redeemable convertible preferred stock (“Series A-2 Preferred Stock”) and Series B Preferred Stock had various rights and preferences, including the following: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 Preference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any liquidation, dissolution or winding up of the Company, whether voluntary or involuntary, or any other deemed liquidation event, before any distribution or payment made to the holders of any common stock of the Company (the “Common Stock”), Series A-1 Preferred Stock or A-2 Preferred Stock, the holders of Series B Preferred Stock are entitled to be paid out of the proceeds or assets of the Company an amount equal to the greater of (i) the original issue price of $1.8719 per share, plus any declared and unpaid dividends on each such share, or (ii) such amount per share as would have been payable had all shares of Series B Preferred Stock been converted into Common Stock prior to such liquidation. If, upon any such liquidation event, the assets of the Company are insufficient to make payment of the liquidation preference in full to all holders of Series B Preferred Stock, such assets will be distributed among the holders of Series B Preferred Stock ratably in proportion to the full preferential amount that each such holder is entitled to receive.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payment of the full liquidation preference of the holders of Series B Preferred Stock, the holders of Series A-1 Preferred Stock and A-2 Preferred Stock are entitled to be paid out of the proceeds or assets of the Company an amount equal to the greater of (i) the original issue price of $0.8776 per share, plus any declared and unpaid dividends on each such share, or (ii) such amount per share as would have been payable had all shares of Series A-1 Preferred Stock and A-2 Preferred Stock been converted into Common Stock prior to such liquidation. If, upon any such liquidation event, after payment of the full liquidation preference of Series B Preferred Stock, the assets of the Company are insufficient to make payment of the liquidation preference in full to all holders of Series A-1 Preferred Stock and A-2 Preferred Stock, such assets will be distributed among the holders of Series A-1 Preferred Stock and A-2 Preferred Stock ratably in proportion to the full amount that each such holder is entitled to receive.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payment of the full liquidation preference of the redeemable convertible preferred stock, the remaining assets of the Company legally available for distribution, if any, will be distributed ratably to the holders of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redeemable convertible preferred stock are convertible into Common Stock at the option of the holder at a conversion ratio that equals to the original issue price for such series, adjusted for any anti-dilution adjustments, divided by the conversion price for such series, in effect on the date of the conversion. The conversion price as adjusted for the reverse stock split is $3.9941 per share for both the Series A-1 Preferred Stock and the Series A-2 Preferred Stock and $8.5193 per share for the Series B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share of redeemable convertible preferred stock is automatically convertible into shares of Common Stock at the then-effective conversion ratio immediately upon (i) the vote or written consent of the holders of at least 60% of the outstanding shares of redeemable convertible preferred stock, or (ii) the closing of a firm-commitment underwritten public offering with gross proceeds to the Company of at least $50.0 million and a public offering price which is at least $10.65 per share, adjusted for any anti-dilution adjustments.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Series A-1 Preferred Stock, Series A-2 Preferred Stock and Series B Preferred Stock are entitled to receive cash dividends at a rate of 8% per annum when and if declared by the board of directors of the Company (the “Board of Directors”). These dividends shall be non-cumulative and be paid prior and in preference to the holders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payment of dividends to the holders of redeemable convertible preferred stock, any additional dividends shall be distributed among all holders of Common Stock and redeemable convertible preferred stock ratably (on an as-if-converted to Common Stock basis). No dividends have been declared or paid to date.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Voting Rights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Each holder of redeemable convertible preferred stock is entitled to the number of votes equal to the number of shares of Common Stock into which such shares of Preferred Stock held by such holder could then be converted. The holders of redeemable convertible preferred stock vote together with the holders of Common Stock as a single class and on an as-converted to Common Stock basis.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as long as at least 4,000,000 shares of the Series A-1 Preferred Stock remain outstanding, the holders of the Series A-1 Preferred Stock, voting as a separate class, are entitled to elect two members of the Board of Directors. For as long as at least 4,000,000 shares of the Series A-2 Preferred Stock remain outstanding, the holders of the Series A-2 Preferred Stock, voting as a separate class, are entitled to elect one member of the Board of Directors. For as long as at least 10,000,000 shares of the Series B Preferred Stock remain outstanding, the holders of the Series B Preferred Stock, voting as a separate class, are entitled to elect one member of the Board of Directors. The remaining members of the Board of Directors are elected by the holders of redeemable convertible preferred stock and Common Stock, voting together as a single class on an as-converted basis.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Redemption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redeemable convertible preferred stock is recorded in mezzanine equity because while it is not mandatorily redeemable, it will become redeemable at the option of the holders of the redeemable convertible preferred stock upon the occurrence of certain deemed liquidation events that are considered not solely within the Company’s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was authorized to issue 140,492,016 shares of Common Stock at a par value of $0.00001 per share. There were 1,250,103 shares of Common Stock legally issued and outstanding at December 31, 2023, with 8,125 shares subject to repurchase due to remaining vesting requirements. The holders of Common Stock are entitled to dividends as declared by the Board of Directors, subject to the rights of holders of all classes of stock outstanding having priority rights as to dividends. The holder of each share of common stock is entitled to one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Common Stock reserved for future issuance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2"/>
        <w:gridCol w:w="346"/>
        <w:gridCol w:w="146"/>
        <w:gridCol w:w="1036"/>
        <w:gridCol w:w="146"/>
        <w:gridCol w:w="146"/>
        <w:gridCol w:w="146"/>
        <w:gridCol w:w="1036"/>
        <w:gridCol w:w="391"/>
      </w:tblGrid>
      <w:tr>
        <w:trPr/>
        <w:tc>
          <w:tcPr>
            <w:tcW w:w="68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1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18,128,357</w:t>
            </w:r>
          </w:p>
        </w:tc>
        <w:tc>
          <w:tcPr>
            <w:tcW w:w="391" w:type="dxa"/>
            <w:tcBorders/>
            <w:shd w:fill="CFF0FC" w:val="clear"/>
            <w:vAlign w:val="center"/>
          </w:tcPr>
          <w:p>
            <w:pPr>
              <w:pStyle w:val="TableContents"/>
              <w:bidi w:val="0"/>
              <w:spacing w:before="0" w:after="283"/>
              <w:jc w:val="left"/>
              <w:rPr/>
            </w:pPr>
            <w:r>
              <w:rPr/>
              <w:t> </w:t>
            </w:r>
          </w:p>
        </w:tc>
      </w:tr>
      <w:tr>
        <w:trPr/>
        <w:tc>
          <w:tcPr>
            <w:tcW w:w="68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 awards (349,321 shares issued in connection with the early exercised options for a non-recourse promissory note are excluded from shares reserved for issuance)</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2,338,346</w:t>
            </w:r>
          </w:p>
        </w:tc>
        <w:tc>
          <w:tcPr>
            <w:tcW w:w="391" w:type="dxa"/>
            <w:tcBorders/>
            <w:shd w:fill="FFFFFF" w:val="clear"/>
            <w:vAlign w:val="center"/>
          </w:tcPr>
          <w:p>
            <w:pPr>
              <w:pStyle w:val="TableContents"/>
              <w:bidi w:val="0"/>
              <w:spacing w:before="0" w:after="283"/>
              <w:jc w:val="left"/>
              <w:rPr/>
            </w:pPr>
            <w:r>
              <w:rPr/>
              <w:t> </w:t>
            </w:r>
          </w:p>
        </w:tc>
      </w:tr>
      <w:tr>
        <w:trPr/>
        <w:tc>
          <w:tcPr>
            <w:tcW w:w="68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options grants</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 for future issuance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29,619,651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20,489,097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Common Stock Issued to a Founder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2018, the Company issued 120,849 shares of Common Stock to a founder of the Company at a purchase price of $0.02 per share. The price was based on an estimate of the fair value of the Common Stock on the grant date. Shares vest monthly over a four-year period starting in May 2019. The Company has the right to repurchase unvested shares at the purchase price if the founder’s services to the Company are terminated. All shares were vested during the year ended December 31, 2022, and there are no unvested shares as of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Early Exercise of Options for a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Company’s chief executive officer (the “CEO”), a related party, early exercised options for 349,321 shares of Common Stock in exchange for a partial recourse promissory note receivable with the principal amount of $1.1 million. The note bears interest of 4.27% per annum and is due in December 2027. For accounting purposes, the promissory note was determined to be non-recourse and, as such, the issuance of the promissory note and subsequent early exercise of stock options are considered non-substantive and will not be recorded in the financial statements until the promissory note is repaid. The issuance of the promissory note modified the terms of the related stock options. The modification did not result in additional compensation expense and the Company continues to recognize stock-based compensation expense for these exercised stock options based on their original grant-date fair value. While the issued shares are not considered outstanding for accounting purposes, they are legally issued and have voting and dividends rights. The shares are included in common stock on the statement of redeemable convertible preferred stock and stockholders’ deficit as of December 31, 2023 and 2022, and are not included in the calculation of net loss per share attributable to common stockholders for the year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12, 2024, the Company and the CEO entered into a note forgiveness letter, pursuant to which the promissory note and all accrued interest thereon in an aggregate amount of $1.1 million were forgiven.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 Option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adopted the 2019 Stock Plan (the “2019 Plan”), which provides for stock awards to employees, directors and consultants of the Company. Awards issuable under the 2019 Plan include incentive stock options (“ISO”), non-statutory stock options (“NSO”), restricted stock units, stock grants and stock purchase awards. As of December 31, 2023, only ISOs and NSOs had been granted under the 2019 Plan.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2023, 5,577,776 shares of Common Stock have been authorized for issuance and 487,673 shares are available for future grant under the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to purchase Common Stock may be granted at a price not less than the fair market value as established by the Board of Directors in the case of both NSOs and ISOs. Stock option grants under the 2019 Plan generally vest over four years. All options expire no later than ten years from the date of grant. The exercise price of ISOs granted to an employee who owns more than 10% of the voting power of all classes of stock of the Company shall be no less than 110% of the estimated fair market value of the underlying Common Stock on the grant date, and the contractual term is no longer than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option activity under the 2019 Plan is as follows:</w:t>
      </w:r>
    </w:p>
    <w:p>
      <w:pPr>
        <w:pStyle w:val="TextBody"/>
        <w:bidi w:val="0"/>
        <w:jc w:val="left"/>
        <w:rPr/>
      </w:pPr>
      <w:r>
        <w:rPr/>
        <w:t> </w:t>
      </w:r>
    </w:p>
    <w:tbl>
      <w:tblPr>
        <w:tblW w:w="7898" w:type="dxa"/>
        <w:jc w:val="left"/>
        <w:tblInd w:w="0" w:type="dxa"/>
        <w:tblLayout w:type="fixed"/>
        <w:tblCellMar>
          <w:top w:w="28" w:type="dxa"/>
          <w:left w:w="28" w:type="dxa"/>
          <w:bottom w:w="28" w:type="dxa"/>
          <w:right w:w="28" w:type="dxa"/>
        </w:tblCellMar>
      </w:tblPr>
      <w:tblGrid>
        <w:gridCol w:w="2761"/>
        <w:gridCol w:w="146"/>
        <w:gridCol w:w="146"/>
        <w:gridCol w:w="826"/>
        <w:gridCol w:w="166"/>
        <w:gridCol w:w="146"/>
        <w:gridCol w:w="271"/>
        <w:gridCol w:w="585"/>
        <w:gridCol w:w="146"/>
        <w:gridCol w:w="146"/>
        <w:gridCol w:w="255"/>
        <w:gridCol w:w="736"/>
        <w:gridCol w:w="146"/>
        <w:gridCol w:w="146"/>
        <w:gridCol w:w="217"/>
        <w:gridCol w:w="668"/>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(242,566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cancelled and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11,810</w:t>
            </w:r>
          </w:p>
        </w:tc>
        <w:tc>
          <w:tcPr>
            <w:tcW w:w="39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2023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w:t>
              <w:br/>
              <w: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Excludes 349,321 shares of Common Stock issued in connection with the early exercised options for a non-recourse promissory note, which are not considered substantive for accounting purposes (see Note 9)</w:t>
      </w:r>
    </w:p>
    <w:p>
      <w:pPr>
        <w:pStyle w:val="TextBody"/>
        <w:bidi w:val="0"/>
        <w:jc w:val="left"/>
        <w:rPr>
          <w:rFonts w:ascii="Times New Roman" w:hAnsi="Times New Roman"/>
          <w:color w:val="000000"/>
          <w:sz w:val="20"/>
        </w:rPr>
      </w:pPr>
      <w:r>
        <w:rPr>
          <w:rFonts w:ascii="Times New Roman" w:hAnsi="Times New Roman"/>
          <w:color w:val="000000"/>
          <w:sz w:val="20"/>
        </w:rPr>
        <w:t>** Includes 1,236,066 shares of unvested stock options for which a holder has the right to early exercise such option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fair value of the underlying Common Stock and the exercise price. The weighted-average grant date fair value of options granted for the years ended December 31, 2023 and 2022, was $4.39 and $2.73, respectively. The weighted-average grant date fair value of options vested for the years ended December 31, 2023 and 2022 was $2.31 and $1.67, respectively. As of December 31, 2023, total unrecognized stock-based compensation expense was $12.5 million, which is expected to be recognized over a weighted-average period of 3.5 years. The intrinsic value of options exercised during 2023 and 2022 was $1.0 million and $0.1 million, respectively, and is calculated based on the difference between the exercise price and the fair value of Common Stock as of the exercise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Early Exercise of Employee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employees received stock options that allow for exercise of the stock option prior to vesting. The shares of Common Stock issued upon an early exercise that have not yet vested are subject to repurchase by the Company in the event of termination of the holder’s continuous status as a service provider, at the price paid by the 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Proceeds from the early exercise of stock options are recorded as repurchase liability, and as shares vest, they are recognized as additional paid-in capital in the balance sheets. Shares purchased by employees pursuant to the early exercise of stock options are not deemed, for accounting purposes, to be issued until those shares vest according to their respective vesting schedules, and the Company recognizes stock-based compensation expense related to these options as they continue to vest. As of each of December 31, 2023 and 2022, there was $0.1 million repurchase liability related to the unvested shares. As of December 31, 2023 and 2022, 8,125 and 105,629 common stock shares, respectively, remained subject to the right of repurchase as a result of the early exercise of stock options and are included in common shares outstanding. Early exercises as of December 31, 2023 exclude 349,321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Common Stock issued in connection with the early exercised options for a non-recourse promissory note, which are not considered substantive for accounting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option pricing model, used to estimate fair value of stock-based awards, requires the use of the following assumptions: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Fair value of Common Stock. </w:t>
      </w:r>
      <w:r>
        <w:rPr>
          <w:rFonts w:ascii="Times New Roman" w:hAnsi="Times New Roman"/>
          <w:color w:val="000000"/>
          <w:sz w:val="20"/>
        </w:rPr>
        <w:t xml:space="preserve">The fair market value of Common Stock is determined by the Board of Directors with assistance from management and external valuation experts. The approach to estimating the fair market value of Common Stock is consistent with the methods outlined in the American Institute of Certified Public Accountants’ Accounting and Valuation Guide, </w:t>
      </w:r>
      <w:r>
        <w:rPr>
          <w:rFonts w:ascii="Times New Roman" w:hAnsi="Times New Roman"/>
          <w:i/>
          <w:color w:val="000000"/>
          <w:sz w:val="20"/>
        </w:rPr>
        <w:t xml:space="preserve">Valuation of Privately-Held-Company Equity Securities Issued as Compensation </w:t>
      </w:r>
      <w:r>
        <w:rPr>
          <w:rFonts w:ascii="Times New Roman" w:hAnsi="Times New Roman"/>
          <w:color w:val="000000"/>
          <w:sz w:val="20"/>
        </w:rPr>
        <w:t>(the “Practice 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Practice Aid, the Company determined the hybrid method was the most appropriate method for determining the fair value of the Common Stock based on the Company’s stage of development and other relevant factors. The hybrid method is a probability-weighted expected return method (“PWERM”), where the equity value in one or more scenarios is calculated using an option pricing model (“OPM”). The Company determined this was the most appropriate method for determining the fair value of the Common Stock based on the Company’s stage of development and other relevant factors. The PWERM is a scenario-based analysis that estimates the value per share of the Common Stock based on the probability-weighted present value of expected future equity values for the Common Stock, under various possible future liquidity event scenarios, considering the rights and preferences of each class of shares, and discounted for a lack of marketability. Under the hybrid method, an OPM was utilized to determine the fair value of the Common Stock in certain of the PWERM scenarios (capturing situations where the Company’s development path and future liquidity events were difficult to forecast), and potential exit events were explicitly modeled in the other PWERM scenarios. A discount for lack of marketability was applied to the value derived under each scenario to account for a lack of access to an active public market to estimate the Common Stock fair value.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Expected Term. </w:t>
      </w:r>
      <w:r>
        <w:rPr>
          <w:rFonts w:ascii="Times New Roman" w:hAnsi="Times New Roman"/>
          <w:color w:val="000000"/>
          <w:sz w:val="20"/>
        </w:rPr>
        <w:t>The expected term of options granted represents the period of time that the options are expected to be outstanding. Due to the lack of historical exercise history, the expected term of the Company’s employee stock options has been determined by calculating the midpoint of the contractual term of the options and the weighted-average vesting period. Grants to nonemployees are based on the contractual term.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Expected Volatility. </w:t>
      </w:r>
      <w:r>
        <w:rPr>
          <w:rFonts w:ascii="Times New Roman" w:hAnsi="Times New Roman"/>
          <w:color w:val="000000"/>
          <w:sz w:val="20"/>
        </w:rPr>
        <w:t>The expected stock price volatility assumption was determined by examining the historical volatilities for industry peers, as the Company did not have any trading history for the Common Stock. The Company will continue to analyze the historical stock price volatility and expected term assumption as more historical data for the Common Stock becomes available.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Risk-Free Interest Rate. </w:t>
      </w:r>
      <w:r>
        <w:rPr>
          <w:rFonts w:ascii="Times New Roman" w:hAnsi="Times New Roman"/>
          <w:color w:val="000000"/>
          <w:sz w:val="20"/>
        </w:rPr>
        <w:t>The risk-free interest rate assumption is based on the U.S. Treasury instrument whose term was consistent with the expected term of the Company’s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Dividends. </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options granted to employees and nonemployees was estimated at the grant date using the following assumptions for the years ended December 31, 2023 and 2022, respectively:</w:t>
      </w:r>
    </w:p>
    <w:p>
      <w:pPr>
        <w:pStyle w:val="TextBody"/>
        <w:bidi w:val="0"/>
        <w:jc w:val="left"/>
        <w:rPr/>
      </w:pPr>
      <w:r>
        <w:rPr/>
        <w:t> </w:t>
      </w:r>
    </w:p>
    <w:tbl>
      <w:tblPr>
        <w:tblW w:w="5715" w:type="dxa"/>
        <w:jc w:val="left"/>
        <w:tblInd w:w="0" w:type="dxa"/>
        <w:tblLayout w:type="fixed"/>
        <w:tblCellMar>
          <w:top w:w="28" w:type="dxa"/>
          <w:left w:w="28" w:type="dxa"/>
          <w:bottom w:w="28" w:type="dxa"/>
          <w:right w:w="28" w:type="dxa"/>
        </w:tblCellMar>
      </w:tblPr>
      <w:tblGrid>
        <w:gridCol w:w="2331"/>
        <w:gridCol w:w="146"/>
        <w:gridCol w:w="314"/>
        <w:gridCol w:w="781"/>
        <w:gridCol w:w="346"/>
        <w:gridCol w:w="186"/>
        <w:gridCol w:w="260"/>
        <w:gridCol w:w="835"/>
        <w:gridCol w:w="516"/>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 - 95%</w:t>
            </w:r>
          </w:p>
        </w:tc>
        <w:tc>
          <w:tcPr>
            <w:tcW w:w="3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 - 97%</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5.9 - 6.2</w:t>
            </w:r>
          </w:p>
        </w:tc>
        <w:tc>
          <w:tcPr>
            <w:tcW w:w="3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6.0 - 6.1</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 - 4.7%</w:t>
            </w:r>
          </w:p>
        </w:tc>
        <w:tc>
          <w:tcPr>
            <w:tcW w:w="34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- 3.9%</w:t>
            </w:r>
          </w:p>
        </w:tc>
        <w:tc>
          <w:tcPr>
            <w:tcW w:w="516" w:type="dxa"/>
            <w:tcBorders/>
            <w:shd w:fill="CFF0FC" w:val="clear"/>
            <w:vAlign w:val="center"/>
          </w:tcPr>
          <w:p>
            <w:pPr>
              <w:pStyle w:val="TableContents"/>
              <w:bidi w:val="0"/>
              <w:spacing w:before="0" w:after="283"/>
              <w:jc w:val="right"/>
              <w:rPr/>
            </w:pPr>
            <w:r>
              <w:rPr/>
              <w:t> </w:t>
            </w:r>
          </w:p>
        </w:tc>
      </w:tr>
      <w:tr>
        <w:trPr/>
        <w:tc>
          <w:tcPr>
            <w:tcW w:w="2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 - 92%</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- 2.8%</w:t>
            </w:r>
          </w:p>
        </w:tc>
        <w:tc>
          <w:tcPr>
            <w:tcW w:w="51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related to stock options granted to employees and nonemployees (in thousands):</w:t>
      </w:r>
    </w:p>
    <w:p>
      <w:pPr>
        <w:pStyle w:val="TextBody"/>
        <w:bidi w:val="0"/>
        <w:jc w:val="left"/>
        <w:rPr/>
      </w:pPr>
      <w:r>
        <w:rPr/>
        <w:t> </w:t>
      </w:r>
    </w:p>
    <w:tbl>
      <w:tblPr>
        <w:tblW w:w="6153" w:type="dxa"/>
        <w:jc w:val="left"/>
        <w:tblInd w:w="0" w:type="dxa"/>
        <w:tblLayout w:type="fixed"/>
        <w:tblCellMar>
          <w:top w:w="28" w:type="dxa"/>
          <w:left w:w="28" w:type="dxa"/>
          <w:bottom w:w="28" w:type="dxa"/>
          <w:right w:w="28" w:type="dxa"/>
        </w:tblCellMar>
      </w:tblPr>
      <w:tblGrid>
        <w:gridCol w:w="3651"/>
        <w:gridCol w:w="146"/>
        <w:gridCol w:w="243"/>
        <w:gridCol w:w="658"/>
        <w:gridCol w:w="168"/>
        <w:gridCol w:w="168"/>
        <w:gridCol w:w="243"/>
        <w:gridCol w:w="485"/>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401(k) plan (the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years ended December 31, 2023 and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p>
      <w:pPr>
        <w:pStyle w:val="TextBody"/>
        <w:bidi w:val="0"/>
        <w:jc w:val="left"/>
        <w:rPr/>
      </w:pPr>
      <w:r>
        <w:rPr/>
        <w:t> </w:t>
      </w:r>
    </w:p>
    <w:tbl>
      <w:tblPr>
        <w:tblW w:w="9589" w:type="dxa"/>
        <w:jc w:val="left"/>
        <w:tblInd w:w="0" w:type="dxa"/>
        <w:tblLayout w:type="fixed"/>
        <w:tblCellMar>
          <w:top w:w="28" w:type="dxa"/>
          <w:left w:w="28" w:type="dxa"/>
          <w:bottom w:w="28" w:type="dxa"/>
          <w:right w:w="28" w:type="dxa"/>
        </w:tblCellMar>
      </w:tblPr>
      <w:tblGrid>
        <w:gridCol w:w="6756"/>
        <w:gridCol w:w="146"/>
        <w:gridCol w:w="211"/>
        <w:gridCol w:w="781"/>
        <w:gridCol w:w="166"/>
        <w:gridCol w:w="146"/>
        <w:gridCol w:w="211"/>
        <w:gridCol w:w="781"/>
        <w:gridCol w:w="39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used in computing basic and diluted net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18,128,357</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2,338,346</w:t>
            </w:r>
          </w:p>
        </w:tc>
        <w:tc>
          <w:tcPr>
            <w:tcW w:w="191" w:type="dxa"/>
            <w:tcBorders/>
            <w:shd w:fill="FFFFFF" w:val="cle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early exercised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454,950</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early exercised common stock options exercised for non-recourse promissory note (Note 10)</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29,489,424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20,921,653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recorded no income tax expense for the years ended December 31, 2023 and 2022. All the Company’s taxable losses were generated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U.S. federal statutory income tax rate to the Company’s effective income tax rate was as follows:</w:t>
      </w:r>
    </w:p>
    <w:p>
      <w:pPr>
        <w:pStyle w:val="TextBody"/>
        <w:bidi w:val="0"/>
        <w:jc w:val="left"/>
        <w:rPr/>
      </w:pPr>
      <w:r>
        <w:rPr/>
        <w:t> </w:t>
      </w:r>
    </w:p>
    <w:tbl>
      <w:tblPr>
        <w:tblW w:w="6296" w:type="dxa"/>
        <w:jc w:val="left"/>
        <w:tblInd w:w="0" w:type="dxa"/>
        <w:tblLayout w:type="fixed"/>
        <w:tblCellMar>
          <w:top w:w="28" w:type="dxa"/>
          <w:left w:w="28" w:type="dxa"/>
          <w:bottom w:w="28" w:type="dxa"/>
          <w:right w:w="28" w:type="dxa"/>
        </w:tblCellMar>
      </w:tblPr>
      <w:tblGrid>
        <w:gridCol w:w="3781"/>
        <w:gridCol w:w="146"/>
        <w:gridCol w:w="152"/>
        <w:gridCol w:w="596"/>
        <w:gridCol w:w="345"/>
        <w:gridCol w:w="152"/>
        <w:gridCol w:w="152"/>
        <w:gridCol w:w="596"/>
        <w:gridCol w:w="3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uncertain tax positions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Significant components of the Company’s deferred tax assets for federal and state income taxes are as follows (in thousands):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Tax Assets:</w:t>
      </w:r>
    </w:p>
    <w:p>
      <w:pPr>
        <w:pStyle w:val="TextBody"/>
        <w:bidi w:val="0"/>
        <w:jc w:val="left"/>
        <w:rPr/>
      </w:pPr>
      <w:r>
        <w:rPr/>
        <w:t> </w:t>
      </w:r>
    </w:p>
    <w:tbl>
      <w:tblPr>
        <w:tblW w:w="8484" w:type="dxa"/>
        <w:jc w:val="left"/>
        <w:tblInd w:w="0" w:type="dxa"/>
        <w:tblLayout w:type="fixed"/>
        <w:tblCellMar>
          <w:top w:w="28" w:type="dxa"/>
          <w:left w:w="28" w:type="dxa"/>
          <w:bottom w:w="28" w:type="dxa"/>
          <w:right w:w="28" w:type="dxa"/>
        </w:tblCellMar>
      </w:tblPr>
      <w:tblGrid>
        <w:gridCol w:w="4721"/>
        <w:gridCol w:w="746"/>
        <w:gridCol w:w="211"/>
        <w:gridCol w:w="736"/>
        <w:gridCol w:w="166"/>
        <w:gridCol w:w="146"/>
        <w:gridCol w:w="211"/>
        <w:gridCol w:w="736"/>
        <w:gridCol w:w="811"/>
      </w:tblGrid>
      <w:tr>
        <w:trPr/>
        <w:tc>
          <w:tcPr>
            <w:tcW w:w="47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 forwards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72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Capitalized research and development expenditures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Reserves and accruals</w:t>
            </w:r>
          </w:p>
        </w:tc>
        <w:tc>
          <w:tcPr>
            <w:tcW w:w="746" w:type="dxa"/>
            <w:tcBorders/>
            <w:shd w:fill="CFF0FC" w:val="clear"/>
            <w:vAlign w:val="center"/>
          </w:tcPr>
          <w:p>
            <w:pPr>
              <w:pStyle w:val="TableContents"/>
              <w:bidi w:val="0"/>
              <w:spacing w:before="0" w:after="283"/>
              <w:ind w:left="300" w:right="0" w:firstLine="3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72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liabilities</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credits</w:t>
            </w:r>
          </w:p>
        </w:tc>
        <w:tc>
          <w:tcPr>
            <w:tcW w:w="746" w:type="dxa"/>
            <w:tcBorders/>
            <w:shd w:fill="CFF0FC" w:val="clear"/>
            <w:vAlign w:val="center"/>
          </w:tcPr>
          <w:p>
            <w:pPr>
              <w:pStyle w:val="TableContents"/>
              <w:bidi w:val="0"/>
              <w:spacing w:before="0" w:after="283"/>
              <w:ind w:left="300" w:right="0" w:firstLine="3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72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license</w:t>
            </w:r>
          </w:p>
        </w:tc>
        <w:tc>
          <w:tcPr>
            <w:tcW w:w="746" w:type="dxa"/>
            <w:tcBorders/>
            <w:shd w:fill="CFF0FC" w:val="clear"/>
            <w:vAlign w:val="center"/>
          </w:tcPr>
          <w:p>
            <w:pPr>
              <w:pStyle w:val="TableContents"/>
              <w:bidi w:val="0"/>
              <w:spacing w:before="0" w:after="283"/>
              <w:ind w:left="300" w:right="0" w:firstLine="3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72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License and upfront fees</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746" w:type="dxa"/>
            <w:tcBorders/>
            <w:shd w:fill="CFF0FC" w:val="cle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deferred tax assets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Valuation allowance</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472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right-of-use assets</w:t>
            </w:r>
          </w:p>
        </w:tc>
        <w:tc>
          <w:tcPr>
            <w:tcW w:w="746" w:type="dxa"/>
            <w:tcBorders/>
            <w:shd w:fill="CFF0FC" w:val="cle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deferred tax liabilities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has reviewed its positive and negative evidence and has concluded that it is more likely than not that the net deferred tax assets will not be realized due to the cumulative losses incurred since inception; therefore, the Company continues to maintain a valuation allowance. The valuation allowance increased by $12.9 million and $6.0 million during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net operating loss carryforwards for federal and state income tax purposes of $48.8 million and $103.2 million, respectively, as of December 31, 2023. The federal net operating loss carryforwards are not subject to expiration but are limited to 80% of the taxable income in the year the carryforward is used. State net operating loss carryforwards, if not utilized, will expire in various amounts 2036 through 2043.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has federal and state research and development credit carryforwards of approximately $1.3 million and $0.9 million, respectively. The federal credits will expire in various amounts 2041 through 2042 and the state credits can be carried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some of the federal and state net operating loss and credit carryforwards may be subject to annual limitations due to the change in ownership provisions of the Internal Revenue Code of 1986, as amended, and similar state provisions. The annual limitation may result in the expiration of net operating losses and credits before utilization. The Company has performed a Section 382 study as of December 31, 2023 and expects approximately $2.0 million of federal net operating losses and $1.9 million California net operating losses to be worthless due to Section 382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Cuts and Jobs Act of 2017 contains a provision that requires the capitalization of Section 174 costs incurred in years beginning on or after January 1, 2022. Section 174 costs are expenditures that represent research and development costs that are incidental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over five years for domestic research and development and fifteen years for foreign research and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beginning and ending balances of the unrecognized tax benefits during the year ended December 31, 2023 and 2022, is as follows (in thousands):</w:t>
      </w:r>
    </w:p>
    <w:p>
      <w:pPr>
        <w:pStyle w:val="TextBody"/>
        <w:bidi w:val="0"/>
        <w:jc w:val="left"/>
        <w:rPr/>
      </w:pPr>
      <w:r>
        <w:rPr/>
        <w:t> </w:t>
      </w:r>
    </w:p>
    <w:tbl>
      <w:tblPr>
        <w:tblW w:w="9210" w:type="dxa"/>
        <w:jc w:val="left"/>
        <w:tblInd w:w="0" w:type="dxa"/>
        <w:tblLayout w:type="fixed"/>
        <w:tblCellMar>
          <w:top w:w="28" w:type="dxa"/>
          <w:left w:w="28" w:type="dxa"/>
          <w:bottom w:w="28" w:type="dxa"/>
          <w:right w:w="28" w:type="dxa"/>
        </w:tblCellMar>
      </w:tblPr>
      <w:tblGrid>
        <w:gridCol w:w="3781"/>
        <w:gridCol w:w="146"/>
        <w:gridCol w:w="645"/>
        <w:gridCol w:w="1755"/>
        <w:gridCol w:w="146"/>
        <w:gridCol w:w="146"/>
        <w:gridCol w:w="645"/>
        <w:gridCol w:w="1755"/>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9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tax positions in prior periods</w:t>
            </w:r>
          </w:p>
        </w:tc>
        <w:tc>
          <w:tcPr>
            <w:tcW w:w="146"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tax positions in the current period</w:t>
            </w:r>
          </w:p>
        </w:tc>
        <w:tc>
          <w:tcPr>
            <w:tcW w:w="146" w:type="dxa"/>
            <w:tcBorders/>
            <w:shd w:fill="CFF0FC" w:val="cle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entire amount of the unrecognized tax benefits would not impact the Company’s effective tax rate if recognized, due to the valuation allowance. The Company has elected to include interest and penalties as a component of tax expense. During the years ended December 31, 2023 and 2022, the Company did not recognize accrued interest and penalties related to unrecognized tax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tax returns in the U.S., California and other various states. The Company is not currently under examination in any of these jurisdictions and all its tax years remain effectively open to examination due to net operating loss carryforwards.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the Company recorded less than $0.1 million to deferred offering costs related to an advisory services agreement with one of its board members.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2023, the Company issued 4,006,624 shares of Series B Preferred Stock at a price of $1.8719 per share, which was the price paid by other investors, to Gilead, a related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30, 2023, the Company’s CEO exercised 58,220 stock options with a $3.15 exercise price per share under the 2019 Plan. As of December 31, 2023, in connection with this transaction, the Company recognized $0.2 million to prepaid and other assets related to unpaid exercise price and related taxes. The payment for exercised options was received on January 8, 2024.</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Amendment and Restatement of the Certificate of Incorporation; Adoption of 2024 Equity Incentive Plan and 2024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2024, the Board adopted, and on January 30, 2024, the Company’s stockholders approved, an amendment and restatement of the Company’s certificate of incorporation to be in effect immediately prior to the closing of the IPO, and the 2024 Equity Incentive Plan (“2024 Plan”) and 2024 Employee Stock Purchase Plan (“ESPP”). The amended and restated certificate of incorporation went into effect on February 12, 2024 and provided for an increase in the authorized number of shares to 490,000,000 shares of common stock and 10,000,000 shares of preferred stock. The 2024 Plan and the ESPP each became effective on February 6, 2024, the date immediately preceding the date upon which the Company’s registration statement for the IPO was declared effective by the SEC. 4,215,000 shares and 422,000 shares were initially reserved for initial issuance under the 2024 Plan and the ESPP, respectively, which will increase as defined in the plans. The 2024 Plan is a successor to the 2019 Plan. Once the 2024 Plan became effective, no further grants will be made under the 2019 Plan.</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Office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the Company entered into an agreement to lease approximately 35,000 square feet of office space in Emeryville, California through February 2027. The lease commenced on February 28, 2024. Monthly rent payments are approximately $0.1 million. There is no renewal option for this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kytx-ex4_2.htm"/>
      <w:bookmarkStart w:id="33" w:name="kskytxex4_2"/>
      <w:bookmarkEnd w:id="32"/>
      <w:bookmarkEnd w:id="33"/>
      <w:r>
        <w:rPr>
          <w:rFonts w:ascii="Times New Roman" w:hAnsi="Times New Roman"/>
          <w:b/>
          <w:color w:val="000000"/>
          <w:sz w:val="20"/>
        </w:rPr>
        <w:t>Exhibit 4.2</w:t>
      </w:r>
      <w:r>
        <w:br w:type="page"/>
      </w:r>
    </w:p>
    <w:p>
      <w:pPr>
        <w:pStyle w:val="TextBody"/>
        <w:bidi w:val="0"/>
        <w:jc w:val="center"/>
        <w:rPr>
          <w:rFonts w:ascii="Times New Roman" w:hAnsi="Times New Roman"/>
          <w:sz w:val="20"/>
        </w:rPr>
      </w:pPr>
      <w:r>
        <w:rPr>
          <w:rFonts w:ascii="Times New Roman" w:hAnsi="Times New Roman"/>
          <w:b/>
          <w:color w:val="000000"/>
          <w:sz w:val="20"/>
        </w:rPr>
        <w:t>Description of Securities of Kyverna Therapeutics,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the material terms of the capital stock of Kyverna Therapeutics, Inc. , or we, us, our, or the Company, as well as other material terms of our amended and restated certificate of incorporation and amended and restated bylaws and certain provisions of Delaware law. This summary does not purport to be complete and is qualified in its entirety by the provisions of our amended and restated certificate of incorporation and amended and restated bylaws, copies of which are filed as exhibits to our Annual Report on Form 10-K, to which this exhibit is a part.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authorized capital stock consists of 490,000,000 shares of common stock, $0.00001 par value per share, and 10,000,000 shares of undesignated preferred stock, $0.00001 par value per share. Our board of directors is authorized, without stockholder approval except as required by the rules and listing standards of The Nasdaq Stock Market LLC, to issue additional shares of our capital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common stock are entitled to one vote for each share held on all matters submitted to a vote of stockholders. Our amended and restated certificate of incorporation does not provide for cumulative voting for the election of directors. Accordingly, holders of a majority of the voting shares are able to elect all of the directors. In addition, the affirmative vote of holders of 66-2/3% of the voting power of all of the then outstanding capital stock will be required to take certain actions, including amending certain provisions of our amended and restated certificate of incorporation, including the provisions relating to amending our amended and restated bylaws, the classified board and director liability. Our amended and restated certificate of incorporation establishes a classified board of directors that is divided into three classes with staggered three-year terms. Only the directors in one class will be subject to election at each annual meeting of our stockholders, with the directors in the other classes continuing for the remainder of their respective three-year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not entitled to preemptive rights, and is not subject to conversion, redemption, or sinking fund provisions.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 to Receive Liquidation 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jc w:val="left"/>
        <w:rPr>
          <w:rFonts w:ascii="Times New Roman" w:hAnsi="Times New Roman"/>
          <w:b/>
          <w:i/>
          <w:color w:val="000000"/>
          <w:sz w:val="20"/>
        </w:rPr>
      </w:pPr>
      <w:r>
        <w:rPr>
          <w:rFonts w:ascii="Times New Roman" w:hAnsi="Times New Roman"/>
          <w:b/>
          <w:i/>
          <w:color w:val="000000"/>
          <w:sz w:val="20"/>
        </w:rPr>
        <w:t>Fully Paid and Non-Assessable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outstanding shares of our common stock are fully paid and non-assessable.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is authorized, subject to limitations prescribed by Delaware law, to issue up to 10,000,000 preferred stock in one or more series, to establish from time to time the number of shares to be included in each series, and to fix the designation, powers, preferences, and rights of the shares of each series and any of its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qualifications, limitations or restrictions,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Investors’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2021, in connection with the initial issuance and sale of our Series B preferred stock, we entered into an Amended and Restated Investors’ Rights Agreement, as subsequently amended, or the Rights Agreement. The Rights Agreement grants certain rights to the holders of our then-outstanding convertible preferred stock, including certain registration rights with respect to the registrable securities held by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an aggregate of 25,171,265 shares of our common stock are entitled to these demand, piggyback and Form S-3 registration rights pursuant to the Rights Agreement. We will pay the registration expenses, other than the underwriting discounts and selling commissions, of the shares registered pursuant to the demand, piggyback and Form S-3 registrations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in an underwritten offering, the managing underwriter, if any, has the right, subject to specified conditions, to limit the number of shares the holders may include. The demand, piggyback and Form S-3 registration rights described below will expire no later than February 12, 2029 (the date that is five years after the completion of our initial public offering), or with respect to any particular holder, at such time that such holder can sell its shares under Rule 144 of the Securities Act of 1933, as amended, or the Securities Act, without limitation during any three-month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Demand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an aggregate of 25,171,265 shares of our common stock are entitled to certain demand registration rights pursuant to the Rights Agreement. At any time beginning August 10, 2024 (the date that is 180 days after the completion of our initial public offering), the holders of a majority of the registrable securities then outstanding may request that we register all or a portion of their shares. Such request for registration must cover at least 40% of the registrable securities then outstanding with an anticipated aggregate offering price of at least $15.0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we propose to register any of our securities under the Securities Act, either for our own account or for the account of other security holders, certain holders of registrable securities will be entitled to certain piggyback registration rights pursuant to the Rights Agreement allowing such holders to include their shares in such registration, subject to certain marketing and other limitations. As a result, whenever we propose to file a registration statement under the Securities Act, other than with respect to: (i) a demand registration; (ii) the registration of securities relating to the sale or grant of securities to employees to a stock option, stock purchase, equity incentive or similar plan; (iii) the registration of securities relating to a SEC Rule 145 transaction; (iv) the registration of securities on any form that does not include substantially the same information as would be required on a Form S-1 or Form S-3; or (v) the registration of common stock that is being registered that is issuable upon conversion of debt securities that are also being registered, then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S-3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an aggregate of 25,171,265 shares of our common stock are entitled to certain Form S-3 registration rights pursuant to the Rights Agreement. Such holders of registrable securities can make a request that we register their shares on Form S-3 if we are qualified to file a registration statement on Form S-3 and such holders hold registrable securities in an anticipated aggregate offering amount of at least $5.0 million, net of applicable selling expenses. We will not be required to effect a registration on Form S-3 within 60 days of a registration initiated by us, to effect more than two registrations on Form S-3 within any 12-month period or to effect any registration that our board of directors deems in good faith to be materially detrimental to our company and our stockholders, subject to certain limitations.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Election and Removal of Directors; Vacancies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exact number of directors will be fixed from time to time by resolution of our board of directors. Directors will be elected by a plurality of the votes of the shares of our capital stock present in person or represented by proxy at the meeting and entitled to vote on the 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director may be removed except for cause, and directors may be removed for cause only by an affirmative vote of shares representing not less than 66-2/3% of the then-outstanding shares then entitled to vote at an election of directors.</w:t>
      </w:r>
    </w:p>
    <w:p>
      <w:pPr>
        <w:pStyle w:val="TextBody"/>
        <w:bidi w:val="0"/>
        <w:jc w:val="left"/>
        <w:rPr>
          <w:rFonts w:ascii="Times New Roman" w:hAnsi="Times New Roman"/>
          <w:color w:val="000000"/>
          <w:sz w:val="20"/>
        </w:rPr>
      </w:pPr>
      <w:r>
        <w:rPr>
          <w:rFonts w:ascii="Times New Roman" w:hAnsi="Times New Roman"/>
          <w:color w:val="000000"/>
          <w:sz w:val="20"/>
        </w:rPr>
        <w:t>Any vacancy occurring on our board of directors and any newly created directorship may be filled only by a majority of the remaining directors in office.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Staggered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divided into three classes serving staggered three-year terms.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on Action by Written Consent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holders of our common stock will not be able to act by written consent without a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special meetings of our stockholders may be called only by the chairperson of our board of directors, our chief executive officer (or president, in the absence of a chief executive officer) or a majority of the directors. Our amended and restated certificate of incorporation and our amended and restated bylaws specifically deny any power of any other person to call a special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of Certificate of Incorporation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of our amended and restated certificate of incorporation under Part B of Article V, Article VI, Article VII, Article VIII, Article IX, Article X and Article XI may be amended only by the affirmative vote of holders of at least 66-2/3% of the voting power of our then-outstanding shares of capital stock. The affirmative vote of holders of at least a majority of the voting power of our outstanding shares of capital stock will generally be required to amend other provisions of our amended and restated certificate of incorporation.</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of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of our amended and restated bylaws may be amended or repealed, and new bylaws may be adopted by (i) our board of directors, with the affirmative vote of a majority of directors present at any regular or special meeting of our board of directors called for that purpose, or (ii) our stockholders, with the affirmative vote of holders of at least 66-2/3% of the voting power of our then-outstanding shares of capital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Limitations on Stockholder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impose some procedural requirements on stockholders who wish to:</w:t>
      </w:r>
    </w:p>
    <w:tbl>
      <w:tblPr>
        <w:tblW w:w="4228" w:type="dxa"/>
        <w:jc w:val="left"/>
        <w:tblInd w:w="0" w:type="dxa"/>
        <w:tblLayout w:type="fixed"/>
        <w:tblCellMar>
          <w:top w:w="28" w:type="dxa"/>
          <w:left w:w="28" w:type="dxa"/>
          <w:bottom w:w="28" w:type="dxa"/>
          <w:right w:w="28" w:type="dxa"/>
        </w:tblCellMar>
      </w:tblPr>
      <w:tblGrid>
        <w:gridCol w:w="124"/>
        <w:gridCol w:w="109"/>
        <w:gridCol w:w="109"/>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make nominations in the election of directors;</w:t>
            </w:r>
          </w:p>
        </w:tc>
      </w:tr>
    </w:tbl>
    <w:tbl>
      <w:tblPr>
        <w:tblW w:w="3358" w:type="dxa"/>
        <w:jc w:val="left"/>
        <w:tblInd w:w="0" w:type="dxa"/>
        <w:tblLayout w:type="fixed"/>
        <w:tblCellMar>
          <w:top w:w="28" w:type="dxa"/>
          <w:left w:w="28" w:type="dxa"/>
          <w:bottom w:w="28" w:type="dxa"/>
          <w:right w:w="28" w:type="dxa"/>
        </w:tblCellMar>
      </w:tblPr>
      <w:tblGrid>
        <w:gridCol w:w="124"/>
        <w:gridCol w:w="109"/>
        <w:gridCol w:w="109"/>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propose that a director be removed;</w:t>
            </w:r>
          </w:p>
        </w:tc>
      </w:tr>
    </w:tbl>
    <w:tbl>
      <w:tblPr>
        <w:tblW w:w="6073" w:type="dxa"/>
        <w:jc w:val="left"/>
        <w:tblInd w:w="0" w:type="dxa"/>
        <w:tblLayout w:type="fixed"/>
        <w:tblCellMar>
          <w:top w:w="28" w:type="dxa"/>
          <w:left w:w="28" w:type="dxa"/>
          <w:bottom w:w="28" w:type="dxa"/>
          <w:right w:w="28" w:type="dxa"/>
        </w:tblCellMar>
      </w:tblPr>
      <w:tblGrid>
        <w:gridCol w:w="124"/>
        <w:gridCol w:w="109"/>
        <w:gridCol w:w="109"/>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propose any repeal or change in our amended and restated bylaws; or</w:t>
            </w:r>
          </w:p>
        </w:tc>
      </w:tr>
    </w:tbl>
    <w:tbl>
      <w:tblPr>
        <w:tblW w:w="8083" w:type="dxa"/>
        <w:jc w:val="left"/>
        <w:tblInd w:w="0" w:type="dxa"/>
        <w:tblLayout w:type="fixed"/>
        <w:tblCellMar>
          <w:top w:w="28" w:type="dxa"/>
          <w:left w:w="28" w:type="dxa"/>
          <w:bottom w:w="28" w:type="dxa"/>
          <w:right w:w="28" w:type="dxa"/>
        </w:tblCellMar>
      </w:tblPr>
      <w:tblGrid>
        <w:gridCol w:w="124"/>
        <w:gridCol w:w="109"/>
        <w:gridCol w:w="109"/>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propose any other business to be brought before an annual or special meeting of stockholders.</w:t>
            </w:r>
          </w:p>
        </w:tc>
      </w:tr>
    </w:tbl>
    <w:p>
      <w:pPr>
        <w:pStyle w:val="TextBody"/>
        <w:bidi w:val="0"/>
        <w:jc w:val="left"/>
        <w:rPr>
          <w:rFonts w:ascii="Times New Roman" w:hAnsi="Times New Roman"/>
          <w:color w:val="000000"/>
          <w:sz w:val="20"/>
        </w:rPr>
      </w:pPr>
      <w:r>
        <w:rPr>
          <w:rFonts w:ascii="Times New Roman" w:hAnsi="Times New Roman"/>
          <w:color w:val="000000"/>
          <w:sz w:val="20"/>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description of the business or nomination to be brought before the meeting and the reasons for conducting such business at the meeting;</w:t>
            </w:r>
          </w:p>
        </w:tc>
      </w:tr>
    </w:tbl>
    <w:tbl>
      <w:tblPr>
        <w:tblW w:w="3418" w:type="dxa"/>
        <w:jc w:val="left"/>
        <w:tblInd w:w="0" w:type="dxa"/>
        <w:tblLayout w:type="fixed"/>
        <w:tblCellMar>
          <w:top w:w="28" w:type="dxa"/>
          <w:left w:w="28" w:type="dxa"/>
          <w:bottom w:w="28" w:type="dxa"/>
          <w:right w:w="28" w:type="dxa"/>
        </w:tblCellMar>
      </w:tblPr>
      <w:tblGrid>
        <w:gridCol w:w="124"/>
        <w:gridCol w:w="109"/>
        <w:gridCol w:w="109"/>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stockholder’s name and address;</w:t>
            </w:r>
          </w:p>
        </w:tc>
      </w:tr>
    </w:tbl>
    <w:tbl>
      <w:tblPr>
        <w:tblW w:w="4978" w:type="dxa"/>
        <w:jc w:val="left"/>
        <w:tblInd w:w="0" w:type="dxa"/>
        <w:tblLayout w:type="fixed"/>
        <w:tblCellMar>
          <w:top w:w="28" w:type="dxa"/>
          <w:left w:w="28" w:type="dxa"/>
          <w:bottom w:w="28" w:type="dxa"/>
          <w:right w:w="28" w:type="dxa"/>
        </w:tblCellMar>
      </w:tblPr>
      <w:tblGrid>
        <w:gridCol w:w="124"/>
        <w:gridCol w:w="109"/>
        <w:gridCol w:w="109"/>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material interest of the stockholder in the proposal;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number of shares beneficially owned by the stockholder, the date or dates such shares were acquired and the investment intent of such acquisition;</w:t>
            </w:r>
          </w:p>
        </w:tc>
      </w:tr>
    </w:tbl>
    <w:tbl>
      <w:tblPr>
        <w:tblW w:w="5548" w:type="dxa"/>
        <w:jc w:val="left"/>
        <w:tblInd w:w="0" w:type="dxa"/>
        <w:tblLayout w:type="fixed"/>
        <w:tblCellMar>
          <w:top w:w="28" w:type="dxa"/>
          <w:left w:w="28" w:type="dxa"/>
          <w:bottom w:w="28" w:type="dxa"/>
          <w:right w:w="28" w:type="dxa"/>
        </w:tblCellMar>
      </w:tblPr>
      <w:tblGrid>
        <w:gridCol w:w="124"/>
        <w:gridCol w:w="109"/>
        <w:gridCol w:w="109"/>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pledge by the stockholder with respect to such shares;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names and addresses of all persons with whom the stockholder is acting in concert, any material interest of those persons in the proposal, the number of shares beneficially owned by those persons, the date or dates such shares were acquired and the investment intent of such acquisition, any pledge by those persons with respect to such shares, and a description of all arrangements and understandings, existing presently or existing during the prior twenty-four months, between or among the stockholder and/or those persons.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timely, a stockholder must generally deliver notice: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120th day prior to the date of the annual meeting and not later than (i) the 90th day prior to such annual meeting or; (ii) if later, the 10th day following the day on which we first publicly announce the date of the annual meeting;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connection with the election of a director at a special meeting of stockholders, during the period not less than 90 nor more than 120 days prior to the date of the special meeting, or, if later, the 10th day following the day on which public disclosure of such special meeting was first made.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of Liability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no director will be personally liable to us or our stockholders for monetary damages for breach of fiduciary duty as a director, except as required by applicable law, as in effect from time to time. Section 102(b)(7) of the General Corporation Law of the State of Delaware, or the DGCL, permits a corporation to provide in its certificate of incorporation that a director of the corporation shall not be personally liable to the corporation or its stockholders for monetary damages for breach of fiduciary duty as a director, except for liability for:</w:t>
      </w:r>
    </w:p>
    <w:tbl>
      <w:tblPr>
        <w:tblW w:w="7963" w:type="dxa"/>
        <w:jc w:val="left"/>
        <w:tblInd w:w="0" w:type="dxa"/>
        <w:tblLayout w:type="fixed"/>
        <w:tblCellMar>
          <w:top w:w="28" w:type="dxa"/>
          <w:left w:w="28" w:type="dxa"/>
          <w:bottom w:w="28" w:type="dxa"/>
          <w:right w:w="28" w:type="dxa"/>
        </w:tblCellMar>
      </w:tblPr>
      <w:tblGrid>
        <w:gridCol w:w="124"/>
        <w:gridCol w:w="109"/>
        <w:gridCol w:w="109"/>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breach of the director’s or officer’s duty of loyalty to the corporation or its stockholders;</w:t>
            </w:r>
          </w:p>
        </w:tc>
      </w:tr>
    </w:tbl>
    <w:tbl>
      <w:tblPr>
        <w:tblW w:w="9238" w:type="dxa"/>
        <w:jc w:val="left"/>
        <w:tblInd w:w="0" w:type="dxa"/>
        <w:tblLayout w:type="fixed"/>
        <w:tblCellMar>
          <w:top w:w="28" w:type="dxa"/>
          <w:left w:w="28" w:type="dxa"/>
          <w:bottom w:w="28" w:type="dxa"/>
          <w:right w:w="28" w:type="dxa"/>
        </w:tblCellMar>
      </w:tblPr>
      <w:tblGrid>
        <w:gridCol w:w="124"/>
        <w:gridCol w:w="109"/>
        <w:gridCol w:w="109"/>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tc>
      </w:tr>
    </w:tbl>
    <w:tbl>
      <w:tblPr>
        <w:tblW w:w="7933" w:type="dxa"/>
        <w:jc w:val="left"/>
        <w:tblInd w:w="0" w:type="dxa"/>
        <w:tblLayout w:type="fixed"/>
        <w:tblCellMar>
          <w:top w:w="28" w:type="dxa"/>
          <w:left w:w="28" w:type="dxa"/>
          <w:bottom w:w="28" w:type="dxa"/>
          <w:right w:w="28" w:type="dxa"/>
        </w:tblCellMar>
      </w:tblPr>
      <w:tblGrid>
        <w:gridCol w:w="124"/>
        <w:gridCol w:w="109"/>
        <w:gridCol w:w="109"/>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director, unlawful payments of dividends or unlawful stock repurchases or redemptions;</w:t>
            </w:r>
          </w:p>
        </w:tc>
      </w:tr>
    </w:tbl>
    <w:tbl>
      <w:tblPr>
        <w:tblW w:w="7618" w:type="dxa"/>
        <w:jc w:val="left"/>
        <w:tblInd w:w="0" w:type="dxa"/>
        <w:tblLayout w:type="fixed"/>
        <w:tblCellMar>
          <w:top w:w="28" w:type="dxa"/>
          <w:left w:w="28" w:type="dxa"/>
          <w:bottom w:w="28" w:type="dxa"/>
          <w:right w:w="28" w:type="dxa"/>
        </w:tblCellMar>
      </w:tblPr>
      <w:tblGrid>
        <w:gridCol w:w="124"/>
        <w:gridCol w:w="109"/>
        <w:gridCol w:w="109"/>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2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an officer, derivative claims brought on behalf of the corporation by a stockholder; or</w:t>
            </w:r>
          </w:p>
        </w:tc>
      </w:tr>
    </w:tbl>
    <w:tbl>
      <w:tblPr>
        <w:tblW w:w="7528" w:type="dxa"/>
        <w:jc w:val="left"/>
        <w:tblInd w:w="0" w:type="dxa"/>
        <w:tblLayout w:type="fixed"/>
        <w:tblCellMar>
          <w:top w:w="28" w:type="dxa"/>
          <w:left w:w="28" w:type="dxa"/>
          <w:bottom w:w="28" w:type="dxa"/>
          <w:right w:w="28" w:type="dxa"/>
        </w:tblCellMar>
      </w:tblPr>
      <w:tblGrid>
        <w:gridCol w:w="124"/>
        <w:gridCol w:w="109"/>
        <w:gridCol w:w="109"/>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transaction from which the director or officer derived an improper personal benefit.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Forum Selection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to us or our stockholders by any director, officer or other employee of our company; (iii) any action asserting a claim arising pursuant to any provision of the DGCL or our amended and restated certificate of incorporation and our amended and restated bylaws; or (iv) any action asserting a claim governed by the internal affairs doctrine. This provision would not apply to claims brought to enforce a duty or liability created by the Exchange Act or any other claim for which the federal courts have exclusive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shares of capital stock shall be deemed to have notice of and consented to the foregoing forum selection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our amended and restated bylaws to be inapplicable or unenforceable in an action, we may incur additional costs associated with resolving such action in other jurisdictions.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choice of forum provisions may limit a stockholder’s ability to bring a claim in a judicial forum that it finds favorable for disputes with our company or our directors, officers or other employees, which may discourage such lawsuits against our company and our directors, officers and other employees and result in increased costs for investors to bring a claim.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Anti-Takeover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Delaware law, along with our amended and restated certificate of incorporation and our amended and restated bylaws, may have the effect of delaying, deferring, or discouraging (i) acquiring control of our company by means of a proxy contest, tender offer or otherwise; or (ii) removing our incumbent officers and directors. These provisions, as well as our ability to issue preferred stock,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Delaware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 and registrar’s address is 150 Royall Street, Canton, Massachusetts 02021.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Global Select Market under the symbol “KYTX”.</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kytx-ex23_1.htm"/>
      <w:bookmarkStart w:id="35" w:name="kskytxex23_1"/>
      <w:bookmarkEnd w:id="34"/>
      <w:bookmarkEnd w:id="35"/>
      <w:r>
        <w:rPr>
          <w:rFonts w:ascii="Times New Roman" w:hAnsi="Times New Roman"/>
          <w:b/>
          <w:color w:val="000000"/>
          <w:sz w:val="20"/>
        </w:rPr>
        <w:t>Exhibit 23.1</w:t>
      </w:r>
      <w:r>
        <w:br w:type="page"/>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We hereby consent to the incorporation by reference in the Registration Statement on Form S-8 (No. 333-276952) of Kyverna Therapeutics, Inc. of our report dated March 26, 2024, relating to the financial statements, which appears in this Annual Report on Form 10-K.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BDO USA, P.C.</w:t>
      </w:r>
    </w:p>
    <w:p>
      <w:pPr>
        <w:pStyle w:val="TextBody"/>
        <w:bidi w:val="0"/>
        <w:jc w:val="left"/>
        <w:rPr>
          <w:rFonts w:ascii="Times New Roman" w:hAnsi="Times New Roman"/>
          <w:color w:val="000000"/>
          <w:sz w:val="20"/>
        </w:rPr>
      </w:pPr>
      <w:r>
        <w:rPr>
          <w:rFonts w:ascii="Times New Roman" w:hAnsi="Times New Roman"/>
          <w:color w:val="000000"/>
          <w:sz w:val="20"/>
        </w:rPr>
        <w:t>San Diego, California</w:t>
      </w:r>
    </w:p>
    <w:p>
      <w:pPr>
        <w:pStyle w:val="TextBody"/>
        <w:bidi w:val="0"/>
        <w:jc w:val="left"/>
        <w:rPr>
          <w:rFonts w:ascii="Times New Roman" w:hAnsi="Times New Roman"/>
          <w:color w:val="000000"/>
          <w:sz w:val="20"/>
        </w:rPr>
      </w:pPr>
      <w:r>
        <w:rPr>
          <w:rFonts w:ascii="Times New Roman" w:hAnsi="Times New Roman"/>
          <w:color w:val="000000"/>
          <w:sz w:val="20"/>
        </w:rPr>
        <w:t>March 26, 2024</w:t>
      </w:r>
    </w:p>
    <w:p>
      <w:pPr>
        <w:pStyle w:val="HorizontalLine"/>
        <w:pBdr>
          <w:bottom w:val="double" w:sz="2" w:space="0" w:color="808080"/>
        </w:pBdr>
        <w:bidi w:val="0"/>
        <w:spacing w:before="0" w:after="283"/>
        <w:jc w:val="left"/>
        <w:rPr/>
      </w:pPr>
      <w:r>
        <w:rPr/>
      </w:r>
    </w:p>
    <w:p>
      <w:pPr>
        <w:pStyle w:val="TextBody"/>
        <w:bidi w:val="0"/>
        <w:jc w:val="left"/>
        <w:rPr/>
      </w:pPr>
      <w:bookmarkStart w:id="36" w:name="kytx-ex31_1.htm"/>
      <w:bookmarkStart w:id="37" w:name="kskytxex3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Maag, Ph.D., hereby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Kyverna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91"/>
        <w:gridCol w:w="109"/>
        <w:gridCol w:w="406"/>
        <w:gridCol w:w="259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kytx-ex31_2.htm"/>
      <w:bookmarkStart w:id="39" w:name="kskytxex31_2"/>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Ryan Jones, hereby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Kyverna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891"/>
        <w:gridCol w:w="109"/>
        <w:gridCol w:w="406"/>
        <w:gridCol w:w="256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Jones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Jones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kytx-ex32_1.htm"/>
      <w:bookmarkStart w:id="41" w:name="kskytxex32_1"/>
      <w:bookmarkEnd w:id="40"/>
      <w:bookmarkEnd w:id="41"/>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Kyverna Therapeutics, Inc. (the “Company”) for the period ended December 31, 2023 as filed with the Securities and Exchange Commission on the date hereof (the “Report”), I certify, pursuant to 18 U.S.C. § 1350, as adopted pursuant to § 906 of the Sarbanes-Oxley Act of 2002, to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91"/>
        <w:gridCol w:w="109"/>
        <w:gridCol w:w="406"/>
        <w:gridCol w:w="259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Maag,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kytx-ex32_2.htm"/>
      <w:bookmarkStart w:id="43" w:name="kskytxex32_2"/>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Kyverna Therapeutics, Inc. (the “Company”) for the period ended December 31, 2023 as filed with the Securities and Exchange Commission on the date hereof (the “Report”), I certify, pursuant to 18 U.S.C. § 1350, as adopted pursuant to § 906 of the Sarbanes-Oxley Act of 2002, to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891"/>
        <w:gridCol w:w="109"/>
        <w:gridCol w:w="406"/>
        <w:gridCol w:w="256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Jones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Jones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kytx-ex97.htm"/>
      <w:bookmarkStart w:id="45" w:name="kskytxex97"/>
      <w:bookmarkEnd w:id="44"/>
      <w:bookmarkEnd w:id="45"/>
      <w:r>
        <w:rPr>
          <w:rFonts w:ascii="Times New Roman" w:hAnsi="Times New Roman"/>
          <w:b/>
          <w:color w:val="000000"/>
          <w:sz w:val="20"/>
        </w:rPr>
        <w:t>Exhibit 97</w:t>
      </w:r>
      <w:r>
        <w:br w:type="page"/>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Kyverna Therapeutics, Inc.</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Clawback Policy</w:t>
      </w:r>
    </w:p>
    <w:p>
      <w:pPr>
        <w:pStyle w:val="TextBody"/>
        <w:bidi w:val="0"/>
        <w:jc w:val="center"/>
        <w:rPr>
          <w:rFonts w:ascii="Times New Roman" w:hAnsi="Times New Roman"/>
          <w:b/>
          <w:color w:val="000000"/>
          <w:sz w:val="20"/>
        </w:rPr>
      </w:pPr>
      <w:r>
        <w:rPr>
          <w:rFonts w:ascii="Times New Roman" w:hAnsi="Times New Roman"/>
          <w:b/>
          <w:color w:val="000000"/>
          <w:sz w:val="20"/>
        </w:rPr>
        <w:t>Adopted January 24, 2024</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The Board of Directors (the “</w:t>
      </w:r>
      <w:r>
        <w:rPr>
          <w:rFonts w:ascii="Times New Roman" w:hAnsi="Times New Roman"/>
          <w:b/>
          <w:color w:val="000000"/>
          <w:sz w:val="20"/>
        </w:rPr>
        <w:t>Board</w:t>
      </w:r>
      <w:r>
        <w:rPr>
          <w:rFonts w:ascii="Times New Roman" w:hAnsi="Times New Roman"/>
          <w:color w:val="000000"/>
          <w:sz w:val="20"/>
        </w:rPr>
        <w:t>”) of Kyverna Therapeutics, Inc. (the “</w:t>
      </w:r>
      <w:r>
        <w:rPr>
          <w:rFonts w:ascii="Times New Roman" w:hAnsi="Times New Roman"/>
          <w:b/>
          <w:color w:val="000000"/>
          <w:sz w:val="20"/>
        </w:rPr>
        <w:t>Company</w:t>
      </w:r>
      <w:r>
        <w:rPr>
          <w:rFonts w:ascii="Times New Roman" w:hAnsi="Times New Roman"/>
          <w:color w:val="000000"/>
          <w:sz w:val="20"/>
        </w:rPr>
        <w:t>”) believes that it is in the best interests of the Company and its stockholders to adopt this Clawback Policy (this “</w:t>
      </w:r>
      <w:r>
        <w:rPr>
          <w:rFonts w:ascii="Times New Roman" w:hAnsi="Times New Roman"/>
          <w:b/>
          <w:color w:val="000000"/>
          <w:sz w:val="20"/>
        </w:rPr>
        <w:t>Policy</w:t>
      </w:r>
      <w:r>
        <w:rPr>
          <w:rFonts w:ascii="Times New Roman" w:hAnsi="Times New Roman"/>
          <w:color w:val="000000"/>
          <w:sz w:val="20"/>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hAnsi="Times New Roman"/>
          <w:b/>
          <w:color w:val="000000"/>
          <w:sz w:val="20"/>
        </w:rPr>
        <w:t>Exchange Act</w:t>
      </w:r>
      <w:r>
        <w:rPr>
          <w:rFonts w:ascii="Times New Roman" w:hAnsi="Times New Roman"/>
          <w:color w:val="000000"/>
          <w:sz w:val="20"/>
        </w:rPr>
        <w:t>”), Rule 10D-1 promulgated under the Exchange Act (“</w:t>
      </w:r>
      <w:r>
        <w:rPr>
          <w:rFonts w:ascii="Times New Roman" w:hAnsi="Times New Roman"/>
          <w:b/>
          <w:color w:val="000000"/>
          <w:sz w:val="20"/>
        </w:rPr>
        <w:t>Rule 10D-1</w:t>
      </w:r>
      <w:r>
        <w:rPr>
          <w:rFonts w:ascii="Times New Roman" w:hAnsi="Times New Roman"/>
          <w:color w:val="000000"/>
          <w:sz w:val="20"/>
        </w:rPr>
        <w:t>”) and Nasdaq Listing Rule 5608 (the “</w:t>
      </w:r>
      <w:r>
        <w:rPr>
          <w:rFonts w:ascii="Times New Roman" w:hAnsi="Times New Roman"/>
          <w:b/>
          <w:color w:val="000000"/>
          <w:sz w:val="20"/>
        </w:rPr>
        <w:t>Listing Standards</w:t>
      </w:r>
      <w:r>
        <w:rPr>
          <w:rFonts w:ascii="Times New Roman" w:hAnsi="Times New Roman"/>
          <w:color w:val="000000"/>
          <w:sz w:val="20"/>
        </w:rPr>
        <w:t>”).</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Administration</w:t>
      </w:r>
    </w:p>
    <w:p>
      <w:pPr>
        <w:pStyle w:val="TextBody"/>
        <w:bidi w:val="0"/>
        <w:spacing w:before="0" w:after="240"/>
        <w:jc w:val="left"/>
        <w:rPr>
          <w:rFonts w:ascii="Times New Roman" w:hAnsi="Times New Roman"/>
          <w:sz w:val="20"/>
        </w:rPr>
      </w:pPr>
      <w:r>
        <w:rPr>
          <w:rFonts w:ascii="Times New Roman" w:hAnsi="Times New Roman"/>
          <w:color w:val="000000"/>
          <w:sz w:val="20"/>
        </w:rPr>
        <w:t>Unless otherwise determined by the Board, the Compensation Committee of the Board (the “</w:t>
      </w:r>
      <w:r>
        <w:rPr>
          <w:rFonts w:ascii="Times New Roman" w:hAnsi="Times New Roman"/>
          <w:b/>
          <w:color w:val="000000"/>
          <w:sz w:val="20"/>
        </w:rPr>
        <w:t>Compensation Committee</w:t>
      </w:r>
      <w:r>
        <w:rPr>
          <w:rFonts w:ascii="Times New Roman" w:hAnsi="Times New Roman"/>
          <w:color w:val="000000"/>
          <w:sz w:val="20"/>
        </w:rPr>
        <w:t>”) (or another committee of the Board) shall administer this Policy (the Board or such committee charged with administration of this Policy, the “</w:t>
      </w:r>
      <w:r>
        <w:rPr>
          <w:rFonts w:ascii="Times New Roman" w:hAnsi="Times New Roman"/>
          <w:b/>
          <w:color w:val="000000"/>
          <w:sz w:val="20"/>
        </w:rPr>
        <w:t>Administrator</w:t>
      </w:r>
      <w:r>
        <w:rPr>
          <w:rFonts w:ascii="Times New Roman" w:hAnsi="Times New Roman"/>
          <w:color w:val="000000"/>
          <w:sz w:val="20"/>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this Policy. In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any legal limitation,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Definitions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used in this Policy, the following definitions shall apply:</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Accounting Restatement</w:t>
      </w:r>
      <w:r>
        <w:rPr>
          <w:color w:val="000000"/>
        </w:rPr>
        <w:t xml:space="preserve">” </w:t>
      </w:r>
      <w:r>
        <w:rPr>
          <w:rFonts w:ascii="Times New Roman" w:hAnsi="Times New Roman"/>
          <w:color w:val="000000"/>
          <w:sz w:val="20"/>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Administrator</w:t>
      </w:r>
      <w:r>
        <w:rPr>
          <w:color w:val="000000"/>
        </w:rPr>
        <w:t xml:space="preserve">” </w:t>
      </w:r>
      <w:r>
        <w:rPr>
          <w:rFonts w:ascii="Times New Roman" w:hAnsi="Times New Roman"/>
          <w:color w:val="000000"/>
          <w:sz w:val="20"/>
        </w:rPr>
        <w:t>has the meaning set forth in Section 1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Applicable Period</w:t>
      </w:r>
      <w:r>
        <w:rPr>
          <w:color w:val="000000"/>
        </w:rPr>
        <w:t xml:space="preserve">” </w:t>
      </w:r>
      <w:r>
        <w:rPr>
          <w:rFonts w:ascii="Times New Roman" w:hAnsi="Times New Roman"/>
          <w:color w:val="000000"/>
          <w:sz w:val="20"/>
        </w:rPr>
        <w:t>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hAnsi="Times New Roman"/>
          <w:b/>
          <w:color w:val="000000"/>
          <w:sz w:val="20"/>
        </w:rPr>
        <w:t>date on which the Company is required to prepare an Accounting Restatement</w:t>
      </w:r>
      <w:r>
        <w:rPr>
          <w:color w:val="000000"/>
        </w:rPr>
        <w:t xml:space="preserve">” </w:t>
      </w:r>
      <w:r>
        <w:rPr>
          <w:rFonts w:ascii="Times New Roman" w:hAnsi="Times New Roman"/>
          <w:color w:val="000000"/>
          <w:sz w:val="20"/>
        </w:rPr>
        <w:t>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Code</w:t>
      </w:r>
      <w:r>
        <w:rPr>
          <w:color w:val="000000"/>
        </w:rPr>
        <w:t xml:space="preserve">” </w:t>
      </w:r>
      <w:r>
        <w:rPr>
          <w:rFonts w:ascii="Times New Roman" w:hAnsi="Times New Roman"/>
          <w:color w:val="000000"/>
          <w:sz w:val="20"/>
        </w:rPr>
        <w:t>means the U.S. Internal Revenue Code of 1986, as amended. Any reference to a section of the Code or regulation thereunder includes such section or regulation, any valid regulation or other official guidance promulgated under such section, and any comparable or future legislation or regulation amending, supplementing or superseding such section or regulation.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Compensation Committee</w:t>
      </w:r>
      <w:r>
        <w:rPr>
          <w:color w:val="000000"/>
        </w:rPr>
        <w:t xml:space="preserve">” </w:t>
      </w:r>
      <w:r>
        <w:rPr>
          <w:rFonts w:ascii="Times New Roman" w:hAnsi="Times New Roman"/>
          <w:color w:val="000000"/>
          <w:sz w:val="20"/>
        </w:rPr>
        <w:t>has the meaning set forth in Section 1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Covered Executives</w:t>
      </w:r>
      <w:r>
        <w:rPr>
          <w:color w:val="000000"/>
        </w:rPr>
        <w:t xml:space="preserve">” </w:t>
      </w:r>
      <w:r>
        <w:rPr>
          <w:rFonts w:ascii="Times New Roman" w:hAnsi="Times New Roman"/>
          <w:color w:val="000000"/>
          <w:sz w:val="20"/>
        </w:rPr>
        <w:t xml:space="preserve">means the Company’s current and former executive officers, as determined by the Administrator in accordance with the definition of executive officer set forth in Rule 10D-1 and the Listing Standards; </w:t>
      </w:r>
      <w:r>
        <w:rPr>
          <w:rFonts w:ascii="Times New Roman" w:hAnsi="Times New Roman"/>
          <w:i/>
          <w:color w:val="000000"/>
          <w:sz w:val="20"/>
        </w:rPr>
        <w:t>provided that</w:t>
      </w:r>
      <w:r>
        <w:rPr>
          <w:color w:val="000000"/>
        </w:rPr>
        <w:t xml:space="preserve"> </w:t>
      </w:r>
      <w:r>
        <w:rPr>
          <w:rFonts w:ascii="Times New Roman" w:hAnsi="Times New Roman"/>
          <w:color w:val="000000"/>
          <w:sz w:val="20"/>
        </w:rPr>
        <w:t>executive officers for purposes of this Policy shall include at a minimum executive officers identified pursuant to 17 C.F.R. 229.401(b).</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Effective Date</w:t>
      </w:r>
      <w:r>
        <w:rPr>
          <w:color w:val="000000"/>
        </w:rPr>
        <w:t xml:space="preserve">” </w:t>
      </w:r>
      <w:r>
        <w:rPr>
          <w:rFonts w:ascii="Times New Roman" w:hAnsi="Times New Roman"/>
          <w:color w:val="000000"/>
          <w:sz w:val="20"/>
        </w:rPr>
        <w:t>has the meaning set forth in Section 9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Erroneously Awarded Compensation</w:t>
      </w:r>
      <w:r>
        <w:rPr>
          <w:color w:val="000000"/>
        </w:rPr>
        <w:t xml:space="preserve">” </w:t>
      </w:r>
      <w:r>
        <w:rPr>
          <w:rFonts w:ascii="Times New Roman" w:hAnsi="Times New Roman"/>
          <w:color w:val="000000"/>
          <w:sz w:val="20"/>
        </w:rPr>
        <w:t>has the meaning set forth in Section 5 hereof.</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A “</w:t>
      </w:r>
      <w:r>
        <w:rPr>
          <w:rFonts w:ascii="Times New Roman" w:hAnsi="Times New Roman"/>
          <w:b/>
          <w:color w:val="000000"/>
          <w:sz w:val="20"/>
        </w:rPr>
        <w:t>Financial Reporting Measure</w:t>
      </w:r>
      <w:r>
        <w:rPr>
          <w:color w:val="000000"/>
        </w:rPr>
        <w:t xml:space="preserve">” </w:t>
      </w:r>
      <w:r>
        <w:rPr>
          <w:rFonts w:ascii="Times New Roman" w:hAnsi="Times New Roman"/>
          <w:color w:val="000000"/>
          <w:sz w:val="20"/>
        </w:rPr>
        <w:t>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hAnsi="Times New Roman"/>
          <w:b/>
          <w:color w:val="000000"/>
          <w:sz w:val="20"/>
        </w:rPr>
        <w:t>TSR</w:t>
      </w:r>
      <w:r>
        <w:rPr>
          <w:color w:val="000000"/>
        </w:rPr>
        <w:t>”</w:t>
      </w:r>
      <w:r>
        <w:rPr>
          <w:rFonts w:ascii="Times New Roman" w:hAnsi="Times New Roman"/>
          <w:color w:val="000000"/>
          <w:sz w:val="20"/>
        </w:rPr>
        <w:t>);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working capital and operating cash flow); return measures (e.g., return on invested capital and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 (the “</w:t>
      </w:r>
      <w:r>
        <w:rPr>
          <w:rFonts w:ascii="Times New Roman" w:hAnsi="Times New Roman"/>
          <w:b/>
          <w:color w:val="000000"/>
          <w:sz w:val="20"/>
        </w:rPr>
        <w:t>SEC</w:t>
      </w:r>
      <w:r>
        <w:rPr>
          <w:color w:val="000000"/>
        </w:rPr>
        <w:t>”</w:t>
      </w:r>
      <w:r>
        <w:rPr>
          <w:rFonts w:ascii="Times New Roman" w:hAnsi="Times New Roman"/>
          <w:color w:val="000000"/>
          <w:sz w:val="20"/>
        </w:rPr>
        <w:t>) to constitute a Financial Reporting Measure.</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Incentive-Based Compensation</w:t>
      </w:r>
      <w:r>
        <w:rPr>
          <w:color w:val="000000"/>
        </w:rPr>
        <w:t xml:space="preserve">” </w:t>
      </w:r>
      <w:r>
        <w:rPr>
          <w:rFonts w:ascii="Times New Roman" w:hAnsi="Times New Roman"/>
          <w:color w:val="000000"/>
          <w:sz w:val="20"/>
        </w:rPr>
        <w:t>means any compensation that is granted, earned or vested based wholly or in part upon the attainment of a Financial Reporting Measure. Incentive-Based Compensation is “</w:t>
      </w:r>
      <w:r>
        <w:rPr>
          <w:rFonts w:ascii="Times New Roman" w:hAnsi="Times New Roman"/>
          <w:b/>
          <w:color w:val="000000"/>
          <w:sz w:val="20"/>
        </w:rPr>
        <w:t>received</w:t>
      </w:r>
      <w:r>
        <w:rPr>
          <w:color w:val="000000"/>
        </w:rPr>
        <w:t xml:space="preserve">” </w:t>
      </w:r>
      <w:r>
        <w:rPr>
          <w:rFonts w:ascii="Times New Roman" w:hAnsi="Times New Roman"/>
          <w:color w:val="000000"/>
          <w:sz w:val="20"/>
        </w:rPr>
        <w:t>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0"/>
        </w:rPr>
        <w:t>Nasdaq</w:t>
      </w:r>
      <w:r>
        <w:rPr>
          <w:color w:val="000000"/>
        </w:rPr>
        <w:t xml:space="preserve">” </w:t>
      </w:r>
      <w:r>
        <w:rPr>
          <w:rFonts w:ascii="Times New Roman" w:hAnsi="Times New Roman"/>
          <w:color w:val="000000"/>
          <w:sz w:val="20"/>
        </w:rPr>
        <w:t>means The Nasdaq Stock Market LLC.</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Covered Executives; Incentive-Based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applies to Incentive-Based Compensation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Required Recoupment of Erroneously Awarded Compensation in the Event of an Accounting Restatement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the Company is required to prepare an Accounting Restatement, the Company shall promptly demand in writing and recoup the amount of any Erroneously Awarded Compensation received by any Covered Executive, as calculated pursuant to Section 5 hereof, during the Applicable Period. Recovery under this Policy with respect to a Covered Executive shall not require a finding of any misconduct by such Covered Executive or that the Covered Executive was responsible for the accounting error leading to an Accounting Restatement. If a Covered Executive fails to repay Erroneously Awarded Compensation that is owed to the Company under this Policy, the Company shall take all appropriate action to recover such Erroneously Awarded Compensation from the Covered Executive,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the Covered Executive shall be required to reimburse the Company for all expenses (including legal expenses) incurred by the Company in recovering such Erroneously Awarded Compensation.</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Erroneously Awarded Compensation: Amount Subject to Recovery</w:t>
      </w:r>
    </w:p>
    <w:p>
      <w:pPr>
        <w:pStyle w:val="TextBody"/>
        <w:bidi w:val="0"/>
        <w:spacing w:before="0" w:after="240"/>
        <w:jc w:val="left"/>
        <w:rPr>
          <w:rFonts w:ascii="Times New Roman" w:hAnsi="Times New Roman"/>
          <w:sz w:val="20"/>
        </w:rPr>
      </w:pPr>
      <w:r>
        <w:rPr>
          <w:rFonts w:ascii="Times New Roman" w:hAnsi="Times New Roman"/>
          <w:color w:val="000000"/>
          <w:sz w:val="20"/>
        </w:rPr>
        <w:t>The amount of “</w:t>
      </w:r>
      <w:r>
        <w:rPr>
          <w:rFonts w:ascii="Times New Roman" w:hAnsi="Times New Roman"/>
          <w:b/>
          <w:color w:val="000000"/>
          <w:sz w:val="20"/>
        </w:rPr>
        <w:t>Erroneously Awarded Compensation</w:t>
      </w:r>
      <w:r>
        <w:rPr>
          <w:rFonts w:ascii="Times New Roman" w:hAnsi="Times New Roman"/>
          <w:color w:val="000000"/>
          <w:sz w:val="20"/>
        </w:rPr>
        <w:t>” subject to recovery under this Policy, as determined by the Administrator, is the amount of Incentive-Based Compensation received by the Covered Executive that exceeds the amount of Incentive-Based Compensation that otherwise would have been received by the Covered Executive had such compensation been determined based on the restated amounts in the Accounting Restatement.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Erroneously Awarded Compensation shall be determined by the Administrator without regard to any taxes paid by the Covered Executive in respect of the Erroneously Awarded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Incentive-Based Compensation based on stock price or TSR, where the amount of Erroneously Awarded Compensation is not subject to mathematical recalculations directly from the information in the Accounting Restatement: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Nasdaq.</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Method of Recoupment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Code and the regulations promulgated thereunder and (e) any other method authorized by applicable law or contract. Subject to compliance with any applicable law, the Administrator may effect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authorized and directed to recoup Erroneously Awarded Compensation in compliance with this Policy unless the Administrator determines that recovery would be impracticable for one or more of the following reasons only, and subject to the following procedural and disclosure requirements: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direct expense paid to a third party to assist in enforcing this Policy would exceed the amount to be recovered. Before concluding that the expense of recovery would exceed the recoverable amount, the Administrator must make a reasonable attempt to recover any Erroneously Awarded Compensation, document such reasonable attempt(s) and provide that documentation to Nasdaq;</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Recovery would violate home country law of the issuer where that law was adopted prior to November 28, 2022. Before concluding that it would be impracticable to recover any amount of Erroneously Awarded Compensation based on a violation of the home country law of the issuer, the Administrator must satisfy the applicable opinion and disclosure requirements of Rule 10D-1 and the Listing Standards;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Recovery would likely cause an otherwise tax-qualified retirement plan, under which benefits are broadly available to employees of the Company, to fail to meet the requirements of 26 U.S.C. 401(a)(13) or 26 U.S.C. 411(a) and regulations promulgated thereunder.</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No Indemnification of Covered Executives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the terms of any indemnification or insurance policy or any contractual arrangement with any Covered Executive, the Company shall not indemnify any Covered Executives against (a) the loss of any Erroneously Awarded Compensation, including any payment or reimbursement for the cost of third-party insurance purchased by any Covered Executives to fund potential clawback obligations under this Policy, or (b) any claims relating to the Company’s enforcement of its rights under this Policy.</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Administrator 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Effective Date; Retroactive Application</w:t>
      </w:r>
    </w:p>
    <w:p>
      <w:pPr>
        <w:pStyle w:val="TextBody"/>
        <w:bidi w:val="0"/>
        <w:spacing w:before="0" w:after="240"/>
        <w:jc w:val="left"/>
        <w:rPr>
          <w:rFonts w:ascii="Times New Roman" w:hAnsi="Times New Roman"/>
          <w:sz w:val="20"/>
        </w:rPr>
      </w:pPr>
      <w:r>
        <w:rPr>
          <w:rFonts w:ascii="Times New Roman" w:hAnsi="Times New Roman"/>
          <w:color w:val="000000"/>
          <w:sz w:val="20"/>
        </w:rPr>
        <w:t>This Policy shall be effective as of February 7, 2024 (the “</w:t>
      </w:r>
      <w:r>
        <w:rPr>
          <w:rFonts w:ascii="Times New Roman" w:hAnsi="Times New Roman"/>
          <w:b/>
          <w:color w:val="000000"/>
          <w:sz w:val="20"/>
        </w:rPr>
        <w:t>Effective Date</w:t>
      </w:r>
      <w:r>
        <w:rPr>
          <w:rFonts w:ascii="Times New Roman" w:hAnsi="Times New Roman"/>
          <w:color w:val="000000"/>
          <w:sz w:val="20"/>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effectuate recovery under this Policy from any amount of compensation approved, awarded, granted, payable or paid to a Covered Executive prior to, on or after the Effective Date.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10.</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Amendment;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or the Compensation Committee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 Notwithstanding anything in this Section 10 to the contrary, no amendment or other modification of this Policy shall be effective if such amendment or other modification would (after taking into account any actions taken by the Company contemporaneously with such amendment or other modification) cause the Company to violate any federal securities laws, SEC rule or the rules of any national securities exchange or national securities association on which the Company’s securities are listed.</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11.</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Other Recoupment Rights; Company Claims</w:t>
      </w:r>
    </w:p>
    <w:p>
      <w:pPr>
        <w:pStyle w:val="TextBody"/>
        <w:bidi w:val="0"/>
        <w:spacing w:before="0" w:after="240"/>
        <w:jc w:val="left"/>
        <w:rPr>
          <w:rFonts w:ascii="Times New Roman" w:hAnsi="Times New Roman"/>
          <w:sz w:val="20"/>
        </w:rPr>
      </w:pPr>
      <w:r>
        <w:rPr>
          <w:rFonts w:ascii="Times New Roman" w:hAnsi="Times New Roman"/>
          <w:color w:val="000000"/>
          <w:sz w:val="20"/>
        </w:rPr>
        <w:t>The Board intends that this Policy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This Policy is also in addition to (and not in lieu of)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hAnsi="Times New Roman"/>
          <w:b/>
          <w:color w:val="000000"/>
          <w:sz w:val="20"/>
        </w:rPr>
        <w:t>Section 304</w:t>
      </w:r>
      <w:r>
        <w:rPr>
          <w:rFonts w:ascii="Times New Roman" w:hAnsi="Times New Roman"/>
          <w:color w:val="000000"/>
          <w:sz w:val="20"/>
        </w:rPr>
        <w:t>”). Any amounts paid to the Company pursuant to Section 304 shall be considered in determining any amounts recovered under this Policy. The Compensation Committee may require that any employment agreement, equity award agreement or any other agreement entered into on or after the Effective Date shall, as a condition to the grant of any benefit thereunder, require a Covered Executive to agree to abide by the terms of this Policy. The application and enforcement of this Policy do not preclude the Company from taking any other action to enforce a Covered Executive’s obligations to the Company, including termination of employment or institution of legal proceedings.</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Nothing contained in this Policy, and no recoupment or recovery as contemplated by this Policy, shall limit any claims, damages or other legal remedies the Company or any of its affiliates may have against a Covered Executive (including reimbursement of legal fees incurred by or on behalf of the Company or any of its affiliates) arising out of or resulting from any actions or omissions by the Covered Executive.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12.</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Successors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shall be binding and enforceable against all Covered Executives and their beneficiaries, heirs, executors, administrators or other legal representatives.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13.</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Exhibit Filing Requirement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copy of this Policy and any amendments thereto shall be filed as an exhibit to the Company’s annual report on Form 10-K.</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14.</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Governing Law; 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and all rights and obligations hereunder shall be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15.</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Interpretation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any provision of this Policy or the application of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Clawback Policy Acknowledgment</w:t>
      </w:r>
    </w:p>
    <w:p>
      <w:pPr>
        <w:pStyle w:val="TextBody"/>
        <w:bidi w:val="0"/>
        <w:spacing w:before="0" w:after="240"/>
        <w:jc w:val="left"/>
        <w:rPr>
          <w:rFonts w:ascii="Times New Roman" w:hAnsi="Times New Roman"/>
          <w:sz w:val="20"/>
        </w:rPr>
      </w:pPr>
      <w:r>
        <w:rPr>
          <w:rFonts w:ascii="Times New Roman" w:hAnsi="Times New Roman"/>
          <w:color w:val="000000"/>
          <w:sz w:val="20"/>
        </w:rPr>
        <w:t>I, the undersigned, agree and acknowledge that I am fully bound by, and subject to, all of the terms and conditions of Kyverna Therapeutics, Inc.’s Clawback Policy (as may be amended, restated, supplemented or otherwise modified from time to time, the “</w:t>
      </w:r>
      <w:r>
        <w:rPr>
          <w:rFonts w:ascii="Times New Roman" w:hAnsi="Times New Roman"/>
          <w:b/>
          <w:color w:val="000000"/>
          <w:sz w:val="20"/>
        </w:rPr>
        <w:t>Policy</w:t>
      </w:r>
      <w:r>
        <w:rPr>
          <w:rFonts w:ascii="Times New Roman" w:hAnsi="Times New Roman"/>
          <w:color w:val="000000"/>
          <w:sz w:val="20"/>
        </w:rPr>
        <w:t>”).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The Policy will apply both during and after my employment with the Company.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tbl>
      <w:tblPr>
        <w:tblW w:w="8177" w:type="dxa"/>
        <w:jc w:val="left"/>
        <w:tblInd w:w="0" w:type="dxa"/>
        <w:tblLayout w:type="fixed"/>
        <w:tblCellMar>
          <w:top w:w="28" w:type="dxa"/>
          <w:left w:w="28" w:type="dxa"/>
          <w:bottom w:w="28" w:type="dxa"/>
          <w:right w:w="28" w:type="dxa"/>
        </w:tblCellMar>
      </w:tblPr>
      <w:tblGrid>
        <w:gridCol w:w="4141"/>
        <w:gridCol w:w="4036"/>
      </w:tblGrid>
      <w:tr>
        <w:trPr/>
        <w:tc>
          <w:tcPr>
            <w:tcW w:w="4141"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br/>
              <w:br/>
              <w:t>By: ___________________________________</w:t>
              <w:br/>
              <w:t>[Name]</w:t>
              <w:br/>
              <w:t>[Title]</w:t>
            </w:r>
          </w:p>
        </w:tc>
        <w:tc>
          <w:tcPr>
            <w:tcW w:w="40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br/>
              <w:br/>
              <w:t>_____________________________________</w:t>
              <w:br/>
              <w:t>Date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hyperlink" Target="https://www.sec.gov/Archives/edgar/data/1994702/000119312524032161/d765670dex31.htm" TargetMode="External"/><Relationship Id="rId25" Type="http://schemas.openxmlformats.org/officeDocument/2006/relationships/hyperlink" Target="https://www.sec.gov/Archives/edgar/data/1994702/000119312524032161/d765670dex32.htm" TargetMode="External"/><Relationship Id="rId26" Type="http://schemas.openxmlformats.org/officeDocument/2006/relationships/hyperlink" Target="https://www.sec.gov/Archives/edgar/data/1994702/000119312524008614/d530411dex41.htm" TargetMode="External"/><Relationship Id="rId27" Type="http://schemas.openxmlformats.org/officeDocument/2006/relationships/hyperlink" Target="https://www.sec.gov/Archives/edgar/data/1994702/000119312524008614/d530411dex101.htm" TargetMode="External"/><Relationship Id="rId28" Type="http://schemas.openxmlformats.org/officeDocument/2006/relationships/hyperlink" Target="https://www.sec.gov/Archives/edgar/data/1994702/000119312524028421/d774885dex102.htm" TargetMode="External"/><Relationship Id="rId29" Type="http://schemas.openxmlformats.org/officeDocument/2006/relationships/hyperlink" Target="https://www.sec.gov/Archives/edgar/data/1994702/000119312524021237/d530411dex103.htm" TargetMode="External"/><Relationship Id="rId30" Type="http://schemas.openxmlformats.org/officeDocument/2006/relationships/hyperlink" Target="https://www.sec.gov/Archives/edgar/data/1994702/000119312524024683/d530411dex104.htm" TargetMode="External"/><Relationship Id="rId31" Type="http://schemas.openxmlformats.org/officeDocument/2006/relationships/hyperlink" Target="https://www.sec.gov/Archives/edgar/data/1994702/000119312524028421/d774885dex105.htm" TargetMode="External"/><Relationship Id="rId32" Type="http://schemas.openxmlformats.org/officeDocument/2006/relationships/hyperlink" Target="https://www.sec.gov/Archives/edgar/data/1994702/000119312524021237/d530411dex106.htm" TargetMode="External"/><Relationship Id="rId33" Type="http://schemas.openxmlformats.org/officeDocument/2006/relationships/hyperlink" Target="https://www.sec.gov/Archives/edgar/data/1994702/000119312524008614/d530411dex107.htm" TargetMode="External"/><Relationship Id="rId34" Type="http://schemas.openxmlformats.org/officeDocument/2006/relationships/hyperlink" Target="https://www.sec.gov/Archives/edgar/data/1994702/000119312524008614/d530411dex108.htm" TargetMode="External"/><Relationship Id="rId35" Type="http://schemas.openxmlformats.org/officeDocument/2006/relationships/hyperlink" Target="https://www.sec.gov/Archives/edgar/data/1994702/000119312524008614/d530411dex109.htm" TargetMode="External"/><Relationship Id="rId36" Type="http://schemas.openxmlformats.org/officeDocument/2006/relationships/hyperlink" Target="https://www.sec.gov/Archives/edgar/data/1994702/000119312524008614/d530411dex1010.htm" TargetMode="External"/><Relationship Id="rId37" Type="http://schemas.openxmlformats.org/officeDocument/2006/relationships/hyperlink" Target="https://www.sec.gov/Archives/edgar/data/1994702/000119312524008614/d530411dex1011.htm" TargetMode="External"/><Relationship Id="rId38" Type="http://schemas.openxmlformats.org/officeDocument/2006/relationships/hyperlink" Target="https://www.sec.gov/Archives/edgar/data/1994702/000119312524008614/d530411dex1012.htm" TargetMode="External"/><Relationship Id="rId39" Type="http://schemas.openxmlformats.org/officeDocument/2006/relationships/hyperlink" Target="https://www.sec.gov/Archives/edgar/data/1994702/000119312524008614/d530411dex1013.htm" TargetMode="External"/><Relationship Id="rId40" Type="http://schemas.openxmlformats.org/officeDocument/2006/relationships/hyperlink" Target="https://www.sec.gov/Archives/edgar/data/1994702/000119312524008614/d530411dex1014.htm" TargetMode="External"/><Relationship Id="rId41" Type="http://schemas.openxmlformats.org/officeDocument/2006/relationships/hyperlink" Target="https://www.sec.gov/Archives/edgar/data/1994702/000119312524008614/d530411dex1015.htm" TargetMode="External"/><Relationship Id="rId42" Type="http://schemas.openxmlformats.org/officeDocument/2006/relationships/hyperlink" Target="https://www.sec.gov/Archives/edgar/data/1994702/000119312524021237/d530411dex1016.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130440</Words>
  <Characters>726360</Characters>
  <CharactersWithSpaces>855999</CharactersWithSpaces>
  <Paragraphs>7701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