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ind w:left="4260" w:right="3720" w:hanging="4239"/>
        <w:spacing w:after="0" w:line="308" w:lineRule="auto"/>
        <w:tabs>
          <w:tab w:leader="none" w:pos="474"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ind w:left="550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spacing w:after="0" w:line="4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0" w:lineRule="exact"/>
        <w:rPr>
          <w:sz w:val="24"/>
          <w:szCs w:val="24"/>
          <w:color w:val="auto"/>
        </w:rPr>
      </w:pPr>
    </w:p>
    <w:p>
      <w:pPr>
        <w:ind w:left="410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001-41947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Kyverna Therapeutics, Inc.</w:t>
      </w:r>
    </w:p>
    <w:p>
      <w:pPr>
        <w:sectPr>
          <w:pgSz w:w="11900" w:h="16838" w:orient="portrait"/>
          <w:cols w:equalWidth="0" w:num="1">
            <w:col w:w="11240"/>
          </w:cols>
          <w:pgMar w:left="320" w:top="1440"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b w:val="1"/>
          <w:bCs w:val="1"/>
          <w:color w:val="auto"/>
        </w:rPr>
        <w:t>5980 Horton St., STE 550</w:t>
      </w:r>
    </w:p>
    <w:p>
      <w:pPr>
        <w:spacing w:after="0" w:line="1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auto"/>
        </w:rPr>
        <w:t>Emeryville, CA</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83-1365411</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15"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94608</w:t>
      </w:r>
    </w:p>
    <w:p>
      <w:pPr>
        <w:spacing w:after="0" w:line="28" w:lineRule="exact"/>
        <w:rPr>
          <w:sz w:val="24"/>
          <w:szCs w:val="24"/>
          <w:color w:val="auto"/>
        </w:rPr>
      </w:pPr>
    </w:p>
    <w:p>
      <w:pPr>
        <w:sectPr>
          <w:pgSz w:w="11900" w:h="16838" w:orient="portrait"/>
          <w:cols w:equalWidth="0" w:num="2">
            <w:col w:w="7260" w:space="680"/>
            <w:col w:w="3300"/>
          </w:cols>
          <w:pgMar w:left="320" w:top="144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(510) 925-2492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67945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600" w:type="dxa"/>
            <w:vAlign w:val="bottom"/>
            <w:vMerge w:val="restart"/>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par value $0.00001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KYTX</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600" w:type="dxa"/>
            <w:vAlign w:val="bottom"/>
            <w:tcBorders>
              <w:top w:val="single" w:sz="8" w:color="auto"/>
            </w:tcBorders>
          </w:tcPr>
          <w:p>
            <w:pPr>
              <w:jc w:val="center"/>
              <w:ind w:right="368"/>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1240" w:type="dxa"/>
            <w:vAlign w:val="bottom"/>
            <w:gridSpan w:val="6"/>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66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p>
        </w:tc>
        <w:tc>
          <w:tcPr>
            <w:tcW w:w="460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36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4"/>
          <w:szCs w:val="24"/>
          <w:color w:val="auto"/>
        </w:rPr>
      </w:pPr>
    </w:p>
    <w:p>
      <w:pPr>
        <w:jc w:val="both"/>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ind w:right="240"/>
        <w:spacing w:after="0" w:line="278" w:lineRule="auto"/>
        <w:rPr>
          <w:sz w:val="20"/>
          <w:szCs w:val="20"/>
          <w:color w:val="auto"/>
        </w:rPr>
      </w:pPr>
      <w:r>
        <w:rPr>
          <w:rFonts w:ascii="Times New Roman" w:cs="Times New Roman" w:eastAsia="Times New Roman" w:hAnsi="Times New Roman"/>
          <w:sz w:val="13"/>
          <w:szCs w:val="13"/>
          <w:color w:val="auto"/>
        </w:rPr>
        <w:t>As of June 28, 2024, the last business day of the Registrant’s most recently completed second quarter, the aggregate market value of the voting and non-voting common equity held by non-affiliates of the Registrant was approximately $222.1 million.</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1, 2025 was 43,214,918.</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1092200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SPECIAL NOTE REGARDING FORWARD-LOOKING STATEMENTS</w:t>
      </w:r>
    </w:p>
    <w:p>
      <w:pPr>
        <w:spacing w:after="0" w:line="33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This Annual Report on Form 10-K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Annual Report on Form 10-K, including statements regarding our future results of operations and financial position, business strategy, drug candidates, planned preclinical studies and clinical trials, results of preclinical studies, clinical trials, research and development costs, plans for manufacturing,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81" w:lineRule="exact"/>
        <w:rPr>
          <w:sz w:val="20"/>
          <w:szCs w:val="20"/>
          <w:color w:val="auto"/>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timing, progress and results of our preclinical studies, clinical trials, and research programs for our product candidates;</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demonstrate, and the timing of, preclinical proof-of-concept in vivo for our product candidates;</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successfully complete our clinical trials;</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quickly leverage our initial product candidates and to progress additional candidates;</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prevalence of certain diseases and conditions we intend to treat and the size of the market opportunity for our product candidates;</w:t>
      </w:r>
    </w:p>
    <w:p>
      <w:pPr>
        <w:spacing w:after="0" w:line="117" w:lineRule="exact"/>
        <w:rPr>
          <w:rFonts w:ascii="Times New Roman" w:cs="Times New Roman" w:eastAsia="Times New Roman" w:hAnsi="Times New Roman"/>
          <w:sz w:val="18"/>
          <w:szCs w:val="18"/>
          <w:color w:val="231F20"/>
        </w:rPr>
      </w:pPr>
    </w:p>
    <w:p>
      <w:pPr>
        <w:ind w:left="1020" w:right="40" w:hanging="479"/>
        <w:spacing w:after="0" w:line="282" w:lineRule="auto"/>
        <w:tabs>
          <w:tab w:leader="none" w:pos="89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estimates of the number of patients with certain diseases and conditions we intend to treat and the number of patients that we will enroll in our clinical trials;</w:t>
      </w:r>
    </w:p>
    <w:p>
      <w:pPr>
        <w:spacing w:after="0" w:line="53"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likelihood of our clinical trials demonstrating safety and efficacy of our product candidates;</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beneficial characteristics, safety, efficacy, therapeutic effects and potential advantages of our product candidates;</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or likelihood of regulatory filings and approval for our product candidates;</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meet future regulatory standards with respect to our product candidates, if approved;</w:t>
      </w:r>
    </w:p>
    <w:p>
      <w:pPr>
        <w:spacing w:after="0" w:line="117" w:lineRule="exact"/>
        <w:rPr>
          <w:rFonts w:ascii="Times New Roman" w:cs="Times New Roman" w:eastAsia="Times New Roman" w:hAnsi="Times New Roman"/>
          <w:sz w:val="18"/>
          <w:szCs w:val="18"/>
          <w:color w:val="231F20"/>
        </w:rPr>
      </w:pPr>
    </w:p>
    <w:p>
      <w:pPr>
        <w:ind w:left="1020" w:right="60" w:hanging="479"/>
        <w:spacing w:after="0" w:line="282" w:lineRule="auto"/>
        <w:tabs>
          <w:tab w:leader="none" w:pos="89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the further development and manufacturing of our product candidates, including additional indications for which we may pursue;</w:t>
      </w:r>
    </w:p>
    <w:p>
      <w:pPr>
        <w:spacing w:after="0" w:line="53" w:lineRule="exact"/>
        <w:rPr>
          <w:rFonts w:ascii="Times New Roman" w:cs="Times New Roman" w:eastAsia="Times New Roman" w:hAnsi="Times New Roman"/>
          <w:sz w:val="18"/>
          <w:szCs w:val="18"/>
          <w:color w:val="231F20"/>
        </w:rPr>
      </w:pPr>
    </w:p>
    <w:p>
      <w:pPr>
        <w:ind w:left="1020" w:hanging="479"/>
        <w:spacing w:after="0" w:line="282" w:lineRule="auto"/>
        <w:tabs>
          <w:tab w:leader="none" w:pos="89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identify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rate and degree of market acceptance and therapeutic benefits of our product candidates, if approved;</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implementation of our strategic plans for our business, product candidates, research programs and technologies;</w:t>
      </w:r>
    </w:p>
    <w:p>
      <w:pPr>
        <w:spacing w:after="0" w:line="117" w:lineRule="exact"/>
        <w:rPr>
          <w:rFonts w:ascii="Times New Roman" w:cs="Times New Roman" w:eastAsia="Times New Roman" w:hAnsi="Times New Roman"/>
          <w:sz w:val="18"/>
          <w:szCs w:val="18"/>
          <w:color w:val="231F20"/>
        </w:rPr>
      </w:pPr>
    </w:p>
    <w:p>
      <w:pPr>
        <w:ind w:left="1020" w:right="380" w:hanging="479"/>
        <w:spacing w:after="0" w:line="282" w:lineRule="auto"/>
        <w:tabs>
          <w:tab w:leader="none" w:pos="89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protection we are able to establish and maintain for intellectual property rights covering our product candidates and genome-editing technology;</w:t>
      </w:r>
    </w:p>
    <w:p>
      <w:pPr>
        <w:spacing w:after="0" w:line="53"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anticipated developments related to our competitors and our industry;</w:t>
      </w:r>
    </w:p>
    <w:p>
      <w:pPr>
        <w:spacing w:after="0" w:line="117" w:lineRule="exact"/>
        <w:rPr>
          <w:rFonts w:ascii="Times New Roman" w:cs="Times New Roman" w:eastAsia="Times New Roman" w:hAnsi="Times New Roman"/>
          <w:sz w:val="18"/>
          <w:szCs w:val="18"/>
          <w:color w:val="231F20"/>
        </w:rPr>
      </w:pPr>
    </w:p>
    <w:p>
      <w:pPr>
        <w:ind w:left="1020" w:right="220" w:hanging="479"/>
        <w:spacing w:after="0" w:line="282" w:lineRule="auto"/>
        <w:tabs>
          <w:tab w:leader="none" w:pos="89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competitive position and ability to leverage the clinical, regulatory and manufacturing advancements to accelerate our clinical trials and regulatory approval of product candidates;</w:t>
      </w:r>
    </w:p>
    <w:p>
      <w:pPr>
        <w:spacing w:after="0" w:line="53"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success of competing therapies that are or may become available;</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identify and enter into future license agreements and collaborations;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 w:name="page4"/>
    <w:bookmarkEnd w:id="3"/>
    <w:p>
      <w:pPr>
        <w:spacing w:after="0" w:line="86" w:lineRule="exact"/>
        <w:rPr>
          <w:sz w:val="20"/>
          <w:szCs w:val="20"/>
          <w:color w:val="auto"/>
        </w:rPr>
      </w:pPr>
    </w:p>
    <w:p>
      <w:pPr>
        <w:ind w:left="1020" w:right="800" w:hanging="479"/>
        <w:spacing w:after="0" w:line="282" w:lineRule="auto"/>
        <w:tabs>
          <w:tab w:leader="none" w:pos="89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potential benefits of strategic collaborations with third parties and our ability to attract collaborators with development, regulatory, manufacturing or commercialization expertise;</w:t>
      </w:r>
    </w:p>
    <w:p>
      <w:pPr>
        <w:spacing w:after="0" w:line="53"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reliance on third parties to conduct clinical trials of our product candidates;</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reliance on third parties for the manufacture of our product candidates;</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sales strategy, manufacturing and commercializing our product candidates, if approved;</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and retain sales personnel, or to contract with a sales organization, if our product candidates are approved;</w:t>
      </w:r>
    </w:p>
    <w:p>
      <w:pPr>
        <w:spacing w:after="0" w:line="117" w:lineRule="exact"/>
        <w:rPr>
          <w:rFonts w:ascii="Times New Roman" w:cs="Times New Roman" w:eastAsia="Times New Roman" w:hAnsi="Times New Roman"/>
          <w:sz w:val="18"/>
          <w:szCs w:val="18"/>
          <w:color w:val="231F20"/>
        </w:rPr>
      </w:pPr>
    </w:p>
    <w:p>
      <w:pPr>
        <w:ind w:left="1020" w:right="440" w:hanging="479"/>
        <w:spacing w:after="0" w:line="282" w:lineRule="auto"/>
        <w:tabs>
          <w:tab w:leader="none" w:pos="89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anticipated regulatory developments in the United States and foreign countries in which we may seek regulatory approval for our product candidates in the future;</w:t>
      </w:r>
    </w:p>
    <w:p>
      <w:pPr>
        <w:spacing w:after="0" w:line="53"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expand internationally;</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and retain key scientific and management personnel;</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sufficiency of our existing capital resources to fund our future operating expenses and capital expenditure requirements;</w:t>
      </w:r>
    </w:p>
    <w:p>
      <w:pPr>
        <w:spacing w:after="0" w:line="117" w:lineRule="exact"/>
        <w:rPr>
          <w:rFonts w:ascii="Times New Roman" w:cs="Times New Roman" w:eastAsia="Times New Roman" w:hAnsi="Times New Roman"/>
          <w:sz w:val="18"/>
          <w:szCs w:val="18"/>
          <w:color w:val="231F20"/>
        </w:rPr>
      </w:pPr>
    </w:p>
    <w:p>
      <w:pPr>
        <w:ind w:left="1020" w:right="20" w:hanging="479"/>
        <w:spacing w:after="0" w:line="282" w:lineRule="auto"/>
        <w:tabs>
          <w:tab w:leader="none" w:pos="89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the period during which we will qualify as an emerging growth company under the JOBS Act or a smaller reporting company; and</w:t>
      </w:r>
    </w:p>
    <w:p>
      <w:pPr>
        <w:spacing w:after="0" w:line="53"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estimates of our expenses, capital requirements and needs for additional financing.</w:t>
      </w:r>
    </w:p>
    <w:p>
      <w:pPr>
        <w:spacing w:after="0" w:line="36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We caution you that the forward-looking statements highlighted above do not encompass all of the forward-looking statements made in this Annual Report on Form 10-K.</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Part I, Item 1A of this Annual Report on Form 10-K titled “Risk Factors” and elsewhere in this Annual Report on Form 10-K. Moreover, we operate in a very competitive and challenging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327"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231F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This Annual Report on Form 10-K contains references to our trademarks and service marks and to those belonging to other entities. Solely for convenience, trademarks and trade names referred to in this </w:t>
      </w:r>
      <w:r>
        <w:rPr>
          <w:rFonts w:ascii="Times New Roman" w:cs="Times New Roman" w:eastAsia="Times New Roman" w:hAnsi="Times New Roman"/>
          <w:sz w:val="18"/>
          <w:szCs w:val="18"/>
          <w:color w:val="231F20"/>
        </w:rPr>
        <w:t>Annual Report on Form 10-K</w:t>
      </w:r>
      <w:r>
        <w:rPr>
          <w:rFonts w:ascii="Times New Roman" w:cs="Times New Roman" w:eastAsia="Times New Roman" w:hAnsi="Times New Roman"/>
          <w:sz w:val="18"/>
          <w:szCs w:val="18"/>
          <w:color w:val="auto"/>
        </w:rPr>
        <w:t xml:space="preserve">, including logos, artwork and other visual displays, may appear without the </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8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display of other entities’ trade names, trademarks or service marks to imply a relationship with, or endorsement or sponsorship of us by, any other entity.</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is necessarily subject to a high degree of uncertainty and risk due to a variety of factors, including those described in Part I, Item 1A of this Annual Report on Form 10-K titled “Risk Factors” and elsewhere in this Annual Report on Form 10-K. These and other factors could cause results to differ materially from those expressed in the estimates made by independent third parties and by us.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cell therapies for patients with autoimmune diseases. Our goal is to liberate patients from autoimmune diseases through the curative potential of cell therapy. Our approach is supported by our breadth of experience treating patients with our lead product candidate, KYV-101, across more than 15 autoimmune disease indications. This has been documented through the scientific publication of multiple autoimmune case studies, our proprietary dataset of patients treated through named patient forms of compassionate use, our experience in ongoing investigator-initiated trials at leading academic institutions, as well as early clinical data from our ongoing company-sponsored trials illustrating the potential of these therapies to deeply deplete B cells with the aim of achieving durable treatment-free remission. This validation provides us with a clear path to continue advancing KYV-101 through late-stage clinical development and commercialization across two broad areas of autoimmune disease: neuroinflammation and rheumatology.</w:t>
      </w:r>
    </w:p>
    <w:p>
      <w:pPr>
        <w:spacing w:after="0" w:line="84"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Our lead program, KYV-101, is an autologous, fully human CD19 CAR T-cell product candidate incorporating highly potent CD28 co-stimulation. KYV-101 is made from an underlying chimeric antigen receptor, or CAR, licensed from the National Institutes of Health, or the NIH. </w:t>
      </w:r>
      <w:r>
        <w:rPr>
          <w:rFonts w:ascii="Times New Roman" w:cs="Times New Roman" w:eastAsia="Times New Roman" w:hAnsi="Times New Roman"/>
          <w:sz w:val="18"/>
          <w:szCs w:val="18"/>
          <w:color w:val="231F20"/>
        </w:rPr>
        <w:t>We believe that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uniquely designed CAR in KYV-101 has the potential to deliver a differentiated therapeutic profile in autoimmune disease. In addition to a fully human scFv domain, the CAR in KYV-101 was also designed with a human CD8α hinge and transmembrane domain, a human CD28 costimulatory domain, and a human CD3ζ activation domain. </w:t>
      </w:r>
      <w:r>
        <w:rPr>
          <w:rFonts w:ascii="Times New Roman" w:cs="Times New Roman" w:eastAsia="Times New Roman" w:hAnsi="Times New Roman"/>
          <w:sz w:val="18"/>
          <w:szCs w:val="18"/>
          <w:color w:val="000000"/>
        </w:rPr>
        <w:t>This same underlying CAR in KYV-101 has completed a 20-patient Phase 1 trial in oncology conducted by the NIH,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results from this Phase 1 trial published in </w:t>
      </w:r>
      <w:r>
        <w:rPr>
          <w:rFonts w:ascii="Times New Roman" w:cs="Times New Roman" w:eastAsia="Times New Roman" w:hAnsi="Times New Roman"/>
          <w:sz w:val="18"/>
          <w:szCs w:val="18"/>
          <w:i w:val="1"/>
          <w:iCs w:val="1"/>
          <w:color w:val="000000"/>
        </w:rPr>
        <w:t>Nature Medicine</w:t>
      </w:r>
      <w:r>
        <w:rPr>
          <w:rFonts w:ascii="Times New Roman" w:cs="Times New Roman" w:eastAsia="Times New Roman" w:hAnsi="Times New Roman"/>
          <w:sz w:val="18"/>
          <w:szCs w:val="18"/>
          <w:color w:val="000000"/>
        </w:rPr>
        <w:t xml:space="preserve"> reported </w:t>
      </w:r>
      <w:r>
        <w:rPr>
          <w:rFonts w:ascii="Times New Roman" w:cs="Times New Roman" w:eastAsia="Times New Roman" w:hAnsi="Times New Roman"/>
          <w:sz w:val="18"/>
          <w:szCs w:val="18"/>
          <w:color w:val="231F20"/>
        </w:rPr>
        <w:t>similar rates of durable antitumor responses</w:t>
      </w:r>
      <w:r>
        <w:rPr>
          <w:rFonts w:ascii="Times New Roman" w:cs="Times New Roman" w:eastAsia="Times New Roman" w:hAnsi="Times New Roman"/>
          <w:sz w:val="18"/>
          <w:szCs w:val="18"/>
          <w:color w:val="000000"/>
        </w:rPr>
        <w:t xml:space="preserve"> while delivering improved tolerability in the clinic among adult oncology patients, as compared to the CAR used to create Yescarta®</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We believe that these differentiated properties of the CAR in KYV-101 are critical for the potential success of CAR T cells as autoimmune disease therapies.</w:t>
      </w:r>
    </w:p>
    <w:p>
      <w:pPr>
        <w:spacing w:after="0" w:line="84"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Our focused clinical development pipeline includes a pivotal Phase 2 trial of KYV-101 in stiff person syndrome, or SPS, a Phase 2 trial of KYV-101 in myasthenia gravis, or MG, and two multi-center Phase 1/2 trials for patients with lupus nephritis, or LN. We are also harnessing investigator-initiated trials and other Kyverna-sponsored clinical trials, or KYSA trials, including in multiple sclerosis and systemic sclerosis, to inform the next priority indications to advance into late-stage development. Additionally, our pipeline includes next-generation CAR T-cell therapies in both autologous and allogeneic formats, including efficiently expanding into broader autoimmune indications and increasing patient reach with KYV-102 using our proprietary whole blood rapid manufacturing process. We believe our cell therapy approach to autoimmune disease may present a significant advantage over current standard-of-care therapies by aiming for deep B cell depletion, an immune reset and long-term remission in autoimmune diseases.</w:t>
      </w:r>
    </w:p>
    <w:p>
      <w:pPr>
        <w:spacing w:after="0" w:line="81"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KYV-101 is currently being evaluated in company-sponsored KYSA trials and investigator-initiated trials in numerous B-cell mediated autoimmune diseases with a prioritized focus in SPS, MG and LN. We have aligned with the FDA on a registrational Phase 2 trial design in SPS, KYSA-8. This KYSA-8 pivotal Phase 2 trial in SPS has enrolled 70% of study participants, with completion of enrollment expected in mid-2025. We also continue to progress our chemistry, manufacturing and controls, or CMC, readiness efforts in a capital-efficient manner in support of an anticipated biologics license application, or BLA, filing with the FDA in 2026. We expect to report topline data from our pivotal Phase 2 trial in SPS in the first half of 2026 and anticipate filing our first BLA with the FDA in 2026.</w:t>
      </w:r>
    </w:p>
    <w:p>
      <w:pPr>
        <w:spacing w:after="0" w:line="79"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Phase 2 trial in MG, KYSA-6, has completed enrollment of patients in an initial six-patient cohort and we plan to report interim data from this cohort in the second half of 2025. We received Regenerative Medicine Advanced Therapy, or RMAT, designations and Orphan Drug Designations from the FDA for both SPS and MG as well as Orphan Drug Designation from the European Medicines Association in MG. We continue to engage in positive dialogue with the FDA and expect to provide an update on the registrational path for KYV-101 in MG in the first half of 2025.</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also currently advancing two Phase 1/2 trials in LN, KYSA-1 and KYSA-3. We have completed the dose-escalation cohort of KYSA-1 and are now treating patients at the target dose. We expect to report Phase 1 data from both of these trials in the second half of 2025. In November 2024, we presented clinical data at ACR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Convergence 2024 that demonstrated positive sustained efficacy and durability at &gt;6-month follow-up observed in patients with severe LN treated with KYV-101 at the therapeutic dose.</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anticipate that our current cash, cash equivalents and available-for-sale marketable securities will be sufficient to fund our operations into 2027. In particular, we expect that our cash, cash equivalents and available-for-sale marketable securities will allow us to file a BLA for KYV-101 in SPS, advance a registration-enabling trial in MG, continue advancing our clinical trial program in LN, and identify our next priority indications to advance into late-stage development. Our operating cash burn can vary from quarter to quarter; for example, we made certain one-time investments in our CMC readiness in the second half of 2024, which we expect to continue through the first half of 2025 for an anticipated BLA in 2026. We have also accelerated enrollment in certain of our clinical trials, with completion of enrollment in our pivotal Phase 2 trial in SPS expected in mid-2025. For these reasons, we currently expect our operating cash burn in the first half of 2025 to be higher than our operating cash burn in the second half of 2025. The amounts and timing of our actual expenditures will depend on numerous factors, including the progress of our research and development, the timing of patient enrollment and evolving regulatory requirements, the time and cost necessary to conduct our ongoing and planned preclinical studies and clinical trials, the results of our preclinical studies and clinical trials and other factors described in </w:t>
      </w:r>
      <w:r>
        <w:rPr>
          <w:rFonts w:ascii="Times New Roman" w:cs="Times New Roman" w:eastAsia="Times New Roman" w:hAnsi="Times New Roman"/>
          <w:sz w:val="18"/>
          <w:szCs w:val="18"/>
          <w:color w:val="231F20"/>
        </w:rPr>
        <w:t>Part I, Item 1A of this Annual Report on Form 10-K titled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elsewhere in this Annual Report on Form 10-K.</w:t>
      </w:r>
    </w:p>
    <w:p>
      <w:pPr>
        <w:spacing w:after="0" w:line="200" w:lineRule="exact"/>
        <w:rPr>
          <w:sz w:val="20"/>
          <w:szCs w:val="20"/>
          <w:color w:val="auto"/>
        </w:rPr>
      </w:pPr>
    </w:p>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pipeline and programs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portfolio of product candidates for the treatment of autoimmune diseases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2143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Autoimmune Disease Market Background</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Autoimmune disease arises from an immune response directed not against pathogenic cells but rather against the body’s own cells and tissues. In a healthy individual, immune cells such as B cells and T cells that recognize normal cells and tissues – and could thus cause harm – are either eliminated before they mature, or have their activities suppressed by other mechanisms. However, in autoimmune disease patients, these preventative measures fail due to a combination of both a person’s genetic makeup and his or her exposure to certain antigens from infections or the environment.</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Autoimmune disease is widely and increasingly prevalent, evidenced by over 80 conditions. We estimate that there are approximately 8.3 million diagnosed patients with B-cell-driven autoimmune diseases in the United States, the European Union and Japan. The chronic and debilitating nature of these diseases leads to both high medical costs and reduced quality of life, creating a significant burden for patients, their families and the health care system. It is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spacing w:after="0" w:line="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estimated that sales for autoimmune disease therapies were greater than $80 billion globally in 2021. Despite the availability of many approved drugs, there remains substantial unmet clinical need, as existing therapies require chronic administration and are rarely considered curative. The majority of patients do not respond optimally, if at all, to these therapies.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is a wide spectrum of diseases and symptoms driven by autoimmunity. The presence of autoantibodies, a product of autoreactive B cells, is a hallmark of many of these diseases. Although the identity of the autoantigen targeted and the tissue or organ with the most significant pathology may differ among autoimmune diseases, the production of autoantibodies by B cells is a common characteristic among many of them. There is also growing evidence that autoreactive B cells may also drive many autoimmune diseases through their interactions with T cells and the production of cytokines. This unifying biology provides us with the opportunity to create therapies for many autoimmune diseases by targeting pathogenic B cells.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Solution — Cell Therapy to Treat Autoimmune Disease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Opportunity to Harness the Power of CAR T-cell Therapy in Autoimmune Disease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believe the success of cell therapies such as CAR T-cell therapies in oncology has paved the way for the application of cellular therapies in other therapeutics areas, including autoimmune diseases.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The first FDA-approved CAR T-cell therapies targeted CD19, a B-cell specific antigen that is highly expressed on B-cell malignancies, such as large B-cell lymphoma. Treatment with CD19 CAR T cells results in depletion of these malignant cells as well as other cells that express CD19, including healthy B cells. Given the role of B cells in multiple autoimmune diseases, we believe it is reasonable to expect that depleting these cells using CD19 CAR T cells may result in therapeutic benefits in a broad range of B-cell-driven autoimmune diseases. The following figure shows the range of B cells targeted by CD19 relative to other targets such as CD20 and BCMA: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128270</wp:posOffset>
            </wp:positionV>
            <wp:extent cx="5349240" cy="2272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KYV-101 is a Fundamentally Different Approach</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CD19 CAR T-cell therapy has demonstrated the ability to deeply deplete B cells in blood and tissues while disrupting B cell follicular architecture, with the potential to clear disease by resetting disease-contributing B cells. We believe that KYV-101’s unique design with CD28 costimulation is optimal for autoimmunity, enabling the potential for disease clearance through deep B-cell depletion and immune reset while eliminating the need for chronic therapy. The following figure illustrates these disease clearing goals of KYV-101, potentially achieved with a single administration, representing a major paradigm shift compared with current standard of care disease modifying agents that may slow progression with chronic administration, but are not administered with curative intent.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2202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KYV-101, Designed for Potency, Reduced Cytokines and an Improved Therapeutic Profile</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KYV-101 is created using a fully human CAR, referred to as Hu19-CD828Z, that was designed with highly potent CD28 costimulation and reduced cytokine release to improve tolerability, resulting in the potential for an overall improved therapeutic profile. The following illustration shows the structure of the CAR in KYV-101: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123190</wp:posOffset>
            </wp:positionV>
            <wp:extent cx="1697355" cy="2040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735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A Phase 1 trial was conducted by the NIH using CAR T cells created with the Hu19-CD828Z CAR, the same CAR used by us to create KYV-101. In this trial,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in 2020, 20 patients with B-cell lymphoma that had failed a median of four prior lines of therapy were treated with Hu19-CD828Z CAR T cells. The antitumor results and durable response observed with Hu19-CD828Z CAR T cells were comparable to results previously observed at the same clinic with the CD28-containing FMC63-CD28Z CAR in Yescarta®, but there were marked differences in the adverse event profiles for these two CAR T cells. Treatment with Hu19-CD828Z CAR T cells resulted in a significantly lower rate of both mild and severe neurotoxicity than previously observed in patients treated with FMC63-CD28Z CAR T cells. Patients treated with Hu-19-CD828Z CAR T cells were also observed to have significantly lower levels of inflammatory cytokines, such as TNFα and IL-6 than observed at that clinical site with FMC63-28Z CAR T cells. We believe that this improved therapeutic profile has the potential to be critical for the application of CAR T-cell therapies in indications such as autoimmune diseases.</w:t>
      </w:r>
    </w:p>
    <w:p>
      <w:pPr>
        <w:spacing w:after="0" w:line="84"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Additionally, the Hu19-CD828Z CAR in KYV-101 contains a fully human anti-CD19 single-chain fragment variable, or scFV, domain. By contrast, all five of the currently approved CD19 CAR T-cell therapies, Kymriah®, Yescarta®, Tecartus®, Breyanzi® and Aucatzyl® incorporate the scFv portion of murine antibodies as their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antigen-recognition domains. These murine domains can lead to anti-murine immune responses in treated patients, which results in increased clearance of therapeutic CAR T cells, limiting their expansion and persistence.</w:t>
      </w:r>
    </w:p>
    <w:p>
      <w:pPr>
        <w:spacing w:after="0" w:line="9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combination of autologous patient cells, our CAR T-cell manufacturing process, and the underlying Hu19-CD828Z CAR licensed from the NIH results in the product candidate KYV-101 expressing the Hu19-CD828Z CAR. While we do not intend to demonstrate comparability between KYV-101 and the NIH product candidate containing the same underlying CAR, we believe that the differentiated properties of the CAR in KYV-101 are critical for the potential success of CAR T cells as autoimmune disease therapies.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Clinical Results of KYV-101 in Autoimmune Disease</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explored the potential of KYV-101 in more than 15 autoimmune indications through a combination of Kyverna-sponsored clinical trials, investigator-initiated clinical trials and named patient activities by individual physicians through a form of compassionate use outside of our sponsored clinical trials. Our KYSA trials include trials with registrational intent and for which we may issue milestone guidance. Our investigator-initiated clinical trials, or IITs, are single-center trials at leading academic centers which help us explore future potential indications.</w:t>
      </w:r>
    </w:p>
    <w:p>
      <w:pPr>
        <w:spacing w:after="0" w:line="11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From May 2023 to December 2024 we supplied KYV-101 in named patient activities for the treatment of 40 patients in Germany through “Individueller Heilversuch”, or IH, which is a form of compassionate use treatment for an individual patient, where a procedure or treatment that has not received marketing authorization may be used for the expected benefit of a patient who has exhausted all available treatment options, under the discretion of the treating physician. The primary goal of these compassionate use treatments is not to assess the effectiveness, but rather to provide a treatment option to patients who have exhausted all other options. While we do not anticipate that we will continue supplying KYV-101 for additional IH activities in Germany outside of formal clinical trials in 2025, this experience has guided our clinical development and commercialization strategy into a prioritized portfolio of indications.</w:t>
      </w:r>
    </w:p>
    <w:p>
      <w:pPr>
        <w:spacing w:after="0" w:line="108" w:lineRule="exact"/>
        <w:rPr>
          <w:sz w:val="20"/>
          <w:szCs w:val="20"/>
          <w:color w:val="auto"/>
        </w:rPr>
      </w:pPr>
    </w:p>
    <w:p>
      <w:pPr>
        <w:jc w:val="both"/>
        <w:ind w:firstLine="449"/>
        <w:spacing w:after="0" w:line="239" w:lineRule="auto"/>
        <w:rPr>
          <w:sz w:val="20"/>
          <w:szCs w:val="20"/>
          <w:color w:val="auto"/>
        </w:rPr>
      </w:pPr>
      <w:r>
        <w:rPr>
          <w:rFonts w:ascii="Times New Roman" w:cs="Times New Roman" w:eastAsia="Times New Roman" w:hAnsi="Times New Roman"/>
          <w:sz w:val="18"/>
          <w:szCs w:val="18"/>
          <w:color w:val="auto"/>
        </w:rPr>
        <w:t>Through this breadth of experience, we have identified three priority indications for our focused clinical development pipeline: SPS, MG, and LN. In all three of these indications, the first patients treated at the KYV-101 therapeutic dose of 1×10</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CAR T cells/μL reported durable remissions of greater than one year and required no ongoing treatment with immunosuppressants or glucocorticoids as of January 2025. The figure below summarizes the reported experience in these first three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95885</wp:posOffset>
            </wp:positionV>
            <wp:extent cx="5349240" cy="2074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Stiff Person Syndrome (SPS) Disease Background</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SPS is a rare, progressive neuroinflammatory autoimmune disease causing debilitating muscle stiffness in the torso, arms, and legs, impacting the ability to walk or move. The majority of patients with SPS have antibodies to GAD65 or the glycine receptor, which impact the interaction between nerves and muscles, causing the stiffness and lack of mobility. Patients typically present with muscle spasms and stiffness, resulting in difficulty turning and bending. When stiffness is severe, the patients' posture resembles a statue. Patients can also have breathing and 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muscle groups impacted such as speech and swallowing. Stiffness, rigidity and spasms impacting a patient’s trunk and limbs cause 80% of patients to lose mobility.</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The prevalence of SPS is estimated to be between 2,000 and 6,000 cases in the United States, with between 1,500 and 2,500 treated off-label with immunomodulatory therapy. It is estimated that 85% of these patients continue to progress with active disease. Walking speed, which we have selected as the primary endpoint for our KYSA-8 pivotal Phase 2 trial, is a holistic functional measure of stiffness and disability in SPS patients. The timed 25-foot walk test, or T25FW, is a validated tool to assess walking ability in clinical trials that has been used to measure stiffness and loss of mobility in SPS.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Current Treatment Paradigm</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There are no FDA-approved therapies for SPS. Current therapies span four categories: symptomatic treatments such as muscle relaxants, anti-seizure medications, painkillers, and anti-inflammatory agents; off-label use of immunosuppressants and intravenous immunoglobulin, or IVIG; physical, speech and occupational therapy and other forms of supportive care; and psychiatric therapy including anti-depressants and anxiolytics. For patients who receive off-label use of immunosuppressants and IVIG, up to 85% have no response or eventually fail therapy.</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We believe that a therapy that deeply depletes pathogenic B cells to reset the immune system may provide durable benefits for patients with SPS without the need for chronic treatment.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KYV-101 Clinical Development in SPS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have aligned with the FDA on a registrational Phase 2 trial design in SPS, KYSA-8, and w</w:t>
      </w:r>
      <w:r>
        <w:rPr>
          <w:rFonts w:ascii="Times New Roman" w:cs="Times New Roman" w:eastAsia="Times New Roman" w:hAnsi="Times New Roman"/>
          <w:sz w:val="18"/>
          <w:szCs w:val="18"/>
          <w:color w:val="231F20"/>
        </w:rPr>
        <w:t>e have enrolled 70% of study participants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KYSA-8 pivotal Phase 2 trial in which we intend to enroll 25 adult patients with SPS. Our primary endpoint is change from baseline in the T25FW at 16 weeks after treatment. Secondary endpoints include evaluating other efficacy scores, including the Modified Rankin Scale, or mRS, Stiffness Index, and Hauser Ambulation Index as well as disease-related biomarkers such as autoantibody titers.</w:t>
      </w:r>
    </w:p>
    <w:p>
      <w:pPr>
        <w:spacing w:after="0" w:line="72"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231F20"/>
        </w:rPr>
        <w:t>We received RMAT designation from the FDA for the treatment of SPS in July 2024 and Orphan Drug Designation from the FDA for the treatment of SPS in August 2024. We expect to complete enrollment in KYSA-8 in the first half of 2025 and we expect to report top-line results from KYSA-8 in the first half of 2026, with the intention of filing a BLA for SPS in 2026. The following figure shows the design for our KYSA-8 pivotal Phase 2 trial in 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349240" cy="1928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231F20"/>
        </w:rPr>
        <w:t>We chose SPS as the lead indication for our clinical development program because of the significant unmet need, with currently no FDA-approved therapies. There is a high cost burden from chronic immunosuppressants, supportive care and hospital visits in this patient population. Up to 85% of patients have no response to or eventually fail off-label immunosuppressants and IVIG. We also believe that there is a significant first-mover advantage in bringing CAR T-cell therapy to neuromuscular diseases, including the opportunity to address a prevalent patient pool, establish price, build brand loyalty, and launch with a focused commercial infrastructure. For these reasons, we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 w:name="page12"/>
    <w:bookmarkEnd w:id="11"/>
    <w:p>
      <w:pPr>
        <w:spacing w:after="0" w:line="3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231F20"/>
        </w:rPr>
        <w:t>believe that SPS is the ideal indication to advance as the tip of the spear for our clinical development program, with the potential to unlock significant opportunity in larger indications in neuroinflammatory disease, as well as in autoimmune disease more broadly.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Named Patient Case Reports of KYV-101 for Treatment of SPS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In total, as of October 31, 2024, three patients with SPS have been treated with KYV-101 on a named patient basis through IH, a form of compassionate use. While we do not expect to be able to use the efficacy results from these case reports in our application for marketing approval to the FDA or other foreign regulatory agencies, we believe that these results reported in a peer-reviewed journal and academic conferences address our mission to prioritize patient needs while providing us insight to help de-risk future Kyverna-sponsored clinical trials.</w:t>
      </w:r>
    </w:p>
    <w:p>
      <w:pPr>
        <w:spacing w:after="0" w:line="7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The results of the first SPS patient treated with KYV-101 on a named patient basis have been published in </w:t>
      </w:r>
      <w:r>
        <w:rPr>
          <w:rFonts w:ascii="Times New Roman" w:cs="Times New Roman" w:eastAsia="Times New Roman" w:hAnsi="Times New Roman"/>
          <w:sz w:val="18"/>
          <w:szCs w:val="18"/>
          <w:i w:val="1"/>
          <w:iCs w:val="1"/>
          <w:color w:val="231F20"/>
        </w:rPr>
        <w:t>PNAS</w:t>
      </w:r>
      <w:r>
        <w:rPr>
          <w:rFonts w:ascii="Times New Roman" w:cs="Times New Roman" w:eastAsia="Times New Roman" w:hAnsi="Times New Roman"/>
          <w:sz w:val="18"/>
          <w:szCs w:val="18"/>
          <w:color w:val="231F20"/>
        </w:rPr>
        <w:t xml:space="preserve"> in June 2024. We also reported the results observed in the first two SPS patients treated on a named patient basis in a company symposium at ECTRIMS in September 2024. These two SPS patients represent all SPS patients treated on a named patient basis who did not have comorbidities that would have excluded them from the KYSA-8 trial, and therefore we believe their results may be most helpful to understanding the potential of KYV-101 in SPS. In both patients, KYV-101 treatment resulted in a reduction of pathogenic autoantibody levels. Both patients demonstrated improvements in T25FW measurements by week 16 estimated from measurements of walking speed by the treating physicians originally measured in meters per second. These improvements in walking were stable and durable over time. Treatment with immunosuppressants was eliminated in both patients, with no immunosuppressive therapies being used at greater than 180 days of follow-up for all three patients. Measurements exclude physiologic replacement steroids at doses of ≤7.5 mg/day. A third SPS patient treated with KYV-101 on a named patient basis was affected with severe and refractory progressive encephalomyelitis with rigidity and myoclonus, or PERM, and therefore would be excluded from our KYSA-8 trial. PERM is a rare condition affecting approximately 5% of SPS patients. The results in the first two SPS patients who would not be excluded from KYSA-8 are shown in the below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203200</wp:posOffset>
            </wp:positionV>
            <wp:extent cx="5349240" cy="2117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Myasthenia Gravis (MG) Disease Background</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MG is an autoimmune disorder associated with progressive muscle weakness and increased mortality risk. MG patients develop antibodies that lead to an immunological attack on critical signaling proteins at the junction between nerve and muscle cells, thereby inhibiting the ability of nerves to communicate properly with muscles. This leads to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Disease symptoms reach their maximum levels within two to three years in approximately 80% of patients. Up to 20% of MG patients experience respiratory crisis at least once in their lives. During the crisis phase,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decline in respiratory function can become life-threatening, leading to death in approximately 2% to 5% of cases. Patients in crisis often require intubation and mechanical ventilation. The prevalence of MG is estimated to be 1 in 5,000, with up to 80,000 to 100,000 cases in the United States.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Over 80% of patients with MG have antibodies to the acetylcholine receptor, or AchR, which is the receptor for the neurotransmitter acetylcholine. The presence of these autoimmune antibodies blocks the signaling from neurons to muscles, which results in outward signs of muscle weakness. The pathology in MG arises not only from the interruption of signal transduction, but also from the physical destruction of the post-synaptic membrane through activation of the complement system, which can lead to complement-driven lysis of the post-synaptic membrane.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Current Treatment Paradigm</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Early-stage MG is symptomatically treated by the use of acetylcholinesterase inhibitors, which block the breakdown of acetylcholine, compensating for some of the loss of receptors due to the autoimmune antibodies targeting AchR. As the disease progresses, patients are typically treated with immunomodulatory agents including immunosuppressive therapies such as steroids or methotrexate, rituximab, IVIG, FcRn blockers, and complement inhibitors. These therapies are chronically administered and often have transient impacts.</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31F20"/>
        </w:rPr>
        <w:t>We believe that a therapy that deeply depletes pathogenic B cells to reset the immune system may provide durable benefits for patients with MG without the need for chronic treatment.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KYV-101 Clinical Development in MG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We have completed enrollment of an initial cohort of six patients in our KYSA-6 Phase 2 single-arm, open-label, multicenter, global trial in adult patients with MG. Primary endpoints are myasthenia gravis activities of daily living score, or MG-ADL, at 24 weeks and incidence and severity of adverse events and laboratory abnormalities. Secondary endpoints include evaluating other efficacy scores and disease-related biomarkers. We expect to report results from this initial six-patient Phase 2 cohort of KYSA-6 in the second half of 2025.</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We received RMAT designation from the FDA for the treatment of MG in August 2024, Orphan Drug Designation from the FDA for the treatment of MG in April 2024, and Orphan Drug Designation from the EMA for the treatment of MG in November 2024. </w:t>
      </w:r>
      <w:r>
        <w:rPr>
          <w:rFonts w:ascii="Times New Roman" w:cs="Times New Roman" w:eastAsia="Times New Roman" w:hAnsi="Times New Roman"/>
          <w:sz w:val="18"/>
          <w:szCs w:val="18"/>
          <w:color w:val="000000"/>
        </w:rPr>
        <w:t>We expect to confirm the registrational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path for KYV-101 in MG with regulators in the first half of this 2025. Our current KYSA-6 Phase 2 trial design for which we have completed enrollment of an initial cohort of six patients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1954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Named Patient Case Reports of KYV-101 for Treatment of MG</w:t>
      </w:r>
    </w:p>
    <w:p>
      <w:pPr>
        <w:spacing w:after="0" w:line="121"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231F20"/>
        </w:rPr>
        <w:t xml:space="preserve">The results of the first MG patient treated with KYV-101 on a named patient basis through IH, a form of compassionate use, have been published in </w:t>
      </w:r>
      <w:r>
        <w:rPr>
          <w:rFonts w:ascii="Times New Roman" w:cs="Times New Roman" w:eastAsia="Times New Roman" w:hAnsi="Times New Roman"/>
          <w:sz w:val="17"/>
          <w:szCs w:val="17"/>
          <w:i w:val="1"/>
          <w:iCs w:val="1"/>
          <w:color w:val="231F20"/>
        </w:rPr>
        <w:t>Lancet Neurology</w:t>
      </w:r>
      <w:r>
        <w:rPr>
          <w:rFonts w:ascii="Times New Roman" w:cs="Times New Roman" w:eastAsia="Times New Roman" w:hAnsi="Times New Roman"/>
          <w:sz w:val="17"/>
          <w:szCs w:val="17"/>
          <w:color w:val="231F20"/>
        </w:rPr>
        <w:t>. The patient was refractory to other treatments and had severe and highly refractory disease, with difficulties swallowing and breathing,</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the inability to walk without assistive devices and several prior myasthenic crises, resulting in five ICU admissions requiring invasive ventilation</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 xml:space="preserve">in the 18 months prior to KYV-101 infusion. Following KYV-101 infusion, the patient was not observed to experience any adverse events related to KYV-101 treatment. A 70% reduction in pathogenic autoantibodies was reported at day 62 while protective vaccination IgG titers were maintained. Following treatment with KYV-101, the patient was observed to have improved muscle strength based on enhanced walking ability without any supportive measures, reduction of the clinical multiparameter Besinger disease activity score, and reduction of the quantitative MG (QMG) scores, as shown in the below graphs. At greater than 19 months of follow-up from treatment with KYV-101, this patient continues to report </w:t>
      </w:r>
      <w:r>
        <w:rPr>
          <w:rFonts w:ascii="Times New Roman" w:cs="Times New Roman" w:eastAsia="Times New Roman" w:hAnsi="Times New Roman"/>
          <w:sz w:val="18"/>
          <w:szCs w:val="18"/>
          <w:color w:val="000000"/>
        </w:rPr>
        <w:t>durable remission and require no ongoing treatment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with immunosuppressants or glucocorticoids.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267970</wp:posOffset>
            </wp:positionV>
            <wp:extent cx="5349240" cy="2348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results from this first patient and two additional MG patients treated with KYV-101 on a named patient basis were reported at a company symposium at ECTRIMS in September 2024. These are the first three MG patients treated with KYV-101 who did not have comorbidities that would have excluded them from the KYSA-6 trial. We believe that the results from these first three patients who would not be excluded from the KYSA-6 study may be most helpful to understanding the potential of KYV-101 in MG. While we do not expect to be able to use the efficacy results from these case reports in our application for marketing approval to the FDA or other foreign regulatory agencies, we believe that these results reported in a peer-reviewed journal and academic conferences address our mission to prioritize patient needs while providing us insight to help de-risk future Kyverna-sponsored clinical trials.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The results observed in these three MG patients are shown in the below graphs. In two of the three patients, KYV-101 treatment resulted in a reduction of AchR autoantibody levels. In all three patients, MG-ADL scores improved substantially, from 3 in one patient and 7 in two patients to zero within 30 to 90 days after KYV-101 treatment. These improvements were stable and durable over time. Treatment with immunosuppressants was eliminated in all three patients, with no immunosuppressive therapies being used at greater than 180 days of follow-up for all three patients. Measurements exclude physiologic replacement steroids at doses of ≤7.5 mg/day.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980440</wp:posOffset>
            </wp:positionV>
            <wp:extent cx="5349240" cy="2134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Lupus Nephritis (LN) Disease Background</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Lupus nephritis is a type of kidney disease that develops in about half of adult patients with systemic lupus erythematosus, or SLE, and is a major cause of morbidity and mortality in SLE. SLE is an autoimmune disease that arises when the immune system develops antibodies against common antigens such as double-stranded DNA, or dsDNA, or components of the cell nucleus. In LN, immune complexes containing autoantibodies, their antigens and other components of the immune system impair the ability of the kidneys to properly filter the blood and regulate fluid levels. LN patients can experience fatigue, hypertension, blood and excessive protein in their urine, osteoporosis and edema. Up to 50% of SLE patients will develop LN, and 30% of LN patients will develop end-stage kidney disease and require dialysis or transplant.</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Current treatments for LN focus on minimizing permanent kidney damage. Newer recommendations from the ACR recommend triple therapy with immunosuppressant agents with a combination of a glucocorticoid, mycophenolate, and belimumab, marketed as BenlystaÒ, or a calcineurin inhibitor. Many patients fail to achieve complete remissions with approved therapies and treatment options for refractory patients are limited. LN can progress aggressively, requiring prompt treatment to avoid permanent kidney damage which can arise following a single disease flare. Long-term high-dose immunosuppression for the treatment of lupus nephritis is associated with significant treatment toxicity.</w:t>
      </w:r>
    </w:p>
    <w:p>
      <w:pPr>
        <w:spacing w:after="0" w:line="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231F20"/>
        </w:rPr>
        <w:t>There are an estimated 70,000 to 100,000 SLE patients in the United States that are diagnosed with lupus nephritis. We estimate that there are up to 40,000 LN patients in the United States with Class II, III or IV LN that are refractory to current therapies.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KYV-101 Clinical Development in LN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are currently advancing two clinical trials in patients with LN, KYSA-1 and KYSA-3. KYSA-1 is an open-label, multicenter, U.S.-based dose escalation trial in adult patients with refractory lupus nephritis for which we have completed the dose escalation cohort. The primary endpoints of KYSA-1 are the incidence of adverse events and laboratory abnormalities and the frequency of dose-limiting toxicities. Secondary endpoints of KYSA-1 include characterizing pharmacokinetics and pharmacodynamics, evaluating disease-related biomarkers, evaluating efficacy including Complete Renal Response, or CRR, and time to CRR, and evaluating immunogenicity. KYSA-3 is a similar trial based in Germany. The Phase 1 primary endpoints of KYSA-3 are the incidence of adverse events and laboratory abnormalities and the frequency of dose-limiting toxicities. Secondary endpoints include evaluating disease-related biomarkers, efficacy, including CRR and time to CRR, and immunogenicity. In total, we have enrolled 9 patients across KYSA-1 and KYSA-3, of which 6 are at the therapeutic dose. We believe that the data from these 9 patients will be sufficient to inform the next stage of our clinical development in LN. Our current KYSA-1 and KYSA-3 clinical trial designs in LN are shown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2125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Early results available as of October 31, 2024 in four patients with LN treated with the therapeutic dose of KYV-101, including one patient treated on a named patient basis, one patient treated on a single-patient IND, and two patients treated in the KYSA-3 clinical trial, were reported at a company symposium at ACR in November 2024. While we do not expect to be able to use the efficacy results from named patient case reports in our application for marketing approval to the FDA or other foreign regulatory agencies, we believe that these results address our mission to prioritize patient needs while providing us insight to help de-risk future Kyverna-sponsored clinical trials.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results observed in these first four LN patients are shown in the below graphs. In all four patients, KYV-101 treatment resulted in a reduction of dsDNA autoantibody levels. KYV-101 treatment also stabilized kidney function for all four patients, measured as no substantial change in estimated glomerular filtration rate and a reduction of urinary protein-to-creatinine ratio, that improved to below 0.5 g/g in two patients, consistent with criteria for CRR. Treatment with immunosuppressants was eliminated in all four patients, with no immunosuppressive therapies being used at greater than 180 days of follow-up for all four patients. Measurements exclude physiologic replacement steroids at doses of ≤7.5 mg/day.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128270</wp:posOffset>
            </wp:positionV>
            <wp:extent cx="5349240" cy="2065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Clinical Applications of KYV-101 in Other Indications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Kyverna’s additional KYSA studies, KYSA-5 in systemic sclerosis and KYSA-7 in multiple sclerosis, as well as IITs across numerous other autoimmune diseases, are exploring additional opportunities for KYV-101 beyond our priority indications. Data from these efforts will inform selection of the next priority indication(s) to accelerate into late-stage development.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KYV-101 Safety Experience in Autoimmune Patients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231F20"/>
        </w:rPr>
        <w:t>From May 2023 to December 2024 we supplied KYV-101 in named patient activities for the treatment of 40 patients across 9 sites in Germany through IH, which is a form of compassionate use treatment for an individual patient, where a procedure or treatment that has not received marketing authorization may be used for the expected benefit of a patient who has exhausted all available treatment options, under the discretion of the treating physician. The primary goal of these compassionate use treatments is not to assess the effectiveness, but rather to provide a treatment option to patients who have exhausted all other options.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This named patient experience provides us with a dataset to anchor our clinical development strategy and we believe supports the potential for a differentiated safety profile. In our compassionate use results summarized at a company symposium at ACR in November 2024, we reported that we observed no high-grade ICANS or CRS following treatment with KYV-101 across all 35 patients with at least 28 days of follow-up as of October 31, 2024. Lower-grade CRS and ICANS events were expected, transient and manageable. All events were observed during the first 14 days and fully resolved. Such data are not obtained using a single protocol or designed to be aggregated or reported as study results, and may be highly variable. Future clinical results, including in our clinical development program for KYV-101, may not confirm the safety observations discussed in the early clinical data from our trials, investigator-initiated trials and named patient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62865</wp:posOffset>
            </wp:positionV>
            <wp:extent cx="5349240" cy="2263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Manufacturing Capabilities and Industrialization of Autologous CAR T-cell Therapies</w:t>
      </w:r>
    </w:p>
    <w:p>
      <w:pPr>
        <w:spacing w:after="0" w:line="121"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231F20"/>
        </w:rPr>
        <w:t>We have developed a robust manufacturing process for KYV-101 and partnered with ElevateBio Base Camp, Inc., or Elevate, and WuXi ATU Advanced Therapies Inc, or WuXi, two experienced contract development and manufacturing organizations, to generate KYV-101 for our Kyverna-sponsored clinical trials, investigator-initiated trials and named patient activities. We also continue to progress our CMC readiness efforts in a capital-efficient manner to support a potential BLA filing in 2026.</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In parallel, we are developing Ingenui-T, a whole blood, rapid manufacturing process designed to improve patient access to CAR T-cell therapies through partnerships with world-class organizations in cell therapy manufacturing, including Elevate. Ingenui-T represents an industrialization of CAR T-cell therapy manufacturing by adapting industry-leading CAR T manufacturing processes to the needs of autoimmune disease patients. We believe that innovations associated with Ingenui-T will improve manufacturing throughput and quality control and have the potential to achieve industry-leading cost of goods.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Given the reduced criticality of turnaround time in many autoimmune diseases as compared to oncology, we believe that in developing CAR T-cell therapies designed specifically for autoimmunity, we can focus on reducing cost of goods and improving patient experience. Our Ingenui-T process is evaluating potential transformational changes in the manufacturing and administration of CAR T-cell therapies including the process of isolating the starting immune cells from patients, the introduction of the CAR construct, and the expansion of modified cells. We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believe that through Ingenui-T we will be able to generate CAR T cells that provide the potential to further optimize the patient experience through modification of the treatment protocols used before and after administration of CAR T cells. Our first product candidate utilizing the Ingenui-T process is KYV-102.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KYV-102, an Autologous CD19 CAR T-cell Product Candidate with Whole Blood Rapid Manufacturing</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KYV-102 leverages the same fully human, clinically validated CD19 CAR-T construct as KYV-101. It incorporates the Ingenui-T process, a proprietary, next-generation process that utilizes whole blood with a rapid manufacturing approach. We intend to broaden CAR T patient access with KYV-102 by eliminating the need for apheresis starting material and reducing the manufacturing turnaround time from conventionally manufactured CAR T-cell products. We expect to file an investigational new drug application for KYV-102 in the second half of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KYV-201, an Allogeneic CD19 CAR T-cell Product Candidate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Over the longer term, we believe that some patients may benefit from an off-the-shelf CD19 CAR T-cell therapy manufactured from healthy donors. To that end, we established a partnership with Intellia to create allogeneic T-cell therapies. Through this partnership, we are developing KYV-201, an allogeneic version of KYV-101 that combines Intellia’s world-leading expertise in gene editing with both our Hu19-CD828Z CAR construct and our broad network of clinical collaborators.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License Agreements with the National Institutes of Health</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231F20"/>
        </w:rPr>
        <w:t>In May 2021, we entered into two patent license agreements, or the NIH Agreements, with the National Institutes of Health, or the NIH, pursuant to which we obtained exclusive, worldwide licenses to certain patents to use a novel, fully human anti-CD19 CAR in our autologous and allogeneic CAR T-cell products for the treatment of patients with autoimmune disease. We paid 50% of the upfront consideration of $3.3 million for acquired licenses in July 2021 and the remaining 50% in May 2022 in accordance with the terms of the NIH Agreements.</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Commencing in January 2023 and subsequently on January 1 of each calendar year thereafter until the NIH Agreements terminate, we are required to make minimum annual royalty payments of $0.2 million, which, commencing January 1, 2024, may be credited against any earned royalties due based on a low single-digit percentage of net sales made in a respective year. In addition, benchmark royalties following the completion of certain regulatory-and clinical-related benchmarks are due to the NIH, with the minimum cumulative royalty due for the first product reaching FDA approval or foreign-equivalent approval totaling approximately $5.7 million for the autologous patent license agreement and approximately $1.7 million for the allogeneic patent license agreement. Additional benchmark royalties would be payable for a subsequent indication under each NIH Agreement. If we enter into a sublicensing agreement, we are required to pay the NIH a sublicense royalty as a percentage of the fair market value of any consideration received for each sublicense granted. The sublicensing percentage starts at a high teens to low twenties percentage if clinical trials for the product candidate have not yet begun and decreases to a mid-single-digit percentage if the product candidate receives FDA approval or foreign-equivalent approval.</w:t>
      </w:r>
    </w:p>
    <w:p>
      <w:pPr>
        <w:spacing w:after="0" w:line="1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Unless terminated sooner, the NIH Agreements remain in effect until the last licensed patent rights granted pursuant to the respective agreement expire. We have a unilateral right to terminate the agreements or any licenses in any country or territory upon 60 days’ notice to the NIH. The NIH may terminate the agreements for our uncured material breach, insolvency or bankruptcy, subject to certain notice and cure periods. The NIH also has the right to terminate or modify the NIH Agreements as necessary to meet requirements for public use specified by federal regulations issued after the date of the applicable license, subject to certain notice, cure and appeal periods.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Under the NIH Agreements, we have agreed to indemnify the NIH from and against all liability, demands, damages, expenses and losses, including but not limited to death, personal injury, illness or property damage in connection with or arising out of the use by us or the design, manufacture, distribution or use of any of the licensed products or licensed processes or materials under the NIH Agreements.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Intellia License and Collaboration Agreement</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231F20"/>
        </w:rPr>
        <w:t>In December 2021, we entered into a License and Collaboration Agreement, or the Intellia Agreement, with Intellia Therapeutics, Inc., a clinical-stage biotechnology company focused on developing novel therapeutics leveraging CRISPR-based technologies, or Intellia, to research and develop an allogeneic CD19-directed CAR cell therapy product, or the CRISPR Product, suitable for validation through pre-clinical and clinical proof-of-concept clinical trials, including the performance of activities as agreed in the collaboration plan. Pursuant to the Intellia Agreement, Intellia granted us an exclusive, worldwide, sublicensable in multiple tiers, royalty bearing license under certain of Intellia’s intellectual property to research, develop, sell and otherwise exploit the CRISPR Product. We are performing the majority of the work under the collaboration plan.</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As a consideration for the licenses granted to us pursuant to the Intellia Agreement, we issued to Intellia 3,739,515 shares of our Series B Preferred Stock at a price of $1.8719 per share, which was the price paid by other investors in our Series B Preferred Stock financing, for consideration of $7.0 million. Intellia also purchased 1,602,649 shares of Series B Preferred Stock at a price of $1.8719 per share under the Series B Preferred Stock Purchase Agreement in cash for total proceeds to us of $3.0 million. We are also obligated to make aggregate milestone payments to Intellia of up to $64.5 million upon the achievement of specified development and regulatory milestones and are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Under the Intellia Agreement, Intellia owns rights, title and interests in and to any intellectual property developed in the course of performance under the Intellia Agreement that is not specifically directed to the CRISPR Product. We granted to Intellia certain non-exclusive, royalty-free, fully paid-up, worldwide licenses under our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we granted Intellia an exclusive option, or the Intellia Option, to enter into a co-development and co-commercialization agreement with us for the CRISPR Product, or the Co-Co Agreement, for a fee payable to us. If Intellia exercises the Intellia Option, we and Intellia would share equally the regulatory and clinical development expenses associated with obtaining approval of the CRISPR Product in the United States and would also share equally all net profits and losses from commercialization of the CRISPR Product in the United States. If Intellia exercises the Intellia Option, no milestone payments will be due and payable from that time forward and we will only pay royalties on sales outside of the United States. In addition, upon exercise of the Intellia Option, following regulatory approval of the CRISPR Product, Intellia will have exclusive commercialization rights for the CRISPR Product for U.S. administration, subject to our rights to co-promote the CRISPR Product in the United States, and we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we participate in legal action or proceeding challenging the validity or enforceability of Intellia’s patents, or by the execution of the Co-Co Agreement. We may terminate the Intellia Agreement in its entirety, or on a country-by-country basis, by providing a written notice after the expiration or termination of the Intellia Option. Following the expiration of the term for a given country, the licenses granted to us in such country will automatically become fully paid-up, perpetual, irrevocable and royalty-free licenses.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231F20"/>
        </w:rPr>
        <w:t>Under the Intellia Agreement, we and Intellia have agreed, subject to certain exceptions, to indemnify each other against any third-party liabilities arising out of (i) any breach of our respective representations, warranties and obligations thereunder, (ii) our respective gross negligence or willful misconduct, or (iii) the research, development or manufacture of the CRISPR Product. We have also agreed, subject to certain exceptions, to indemnify Intellia against any third-party liabilities arising out of the commercialization of the CRISPR Product by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Manufacturing</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Manufacturing of both autologous and allogeneic cell therapies requires multiple components and is complex, and there are many similarities in the processes for both kinds of therapies. We do not own or operate, and currently have no plans to establish, any manufacturing facilities. We currently contract with third-party contract manufacturing organizations, or CMOs, for the manufacture of any product candidates that we may develop for preclinical and clinical study, and for and critical materials required to be incorporated into the product.</w:t>
      </w:r>
    </w:p>
    <w:p>
      <w:pPr>
        <w:spacing w:after="0" w:line="7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Under our Master Services Agreement with WuXi ATU Advanced Therapies Inc., dated March 2022, or the WuXi Agreement, WuXi provides us with certain customized cell manufacturing, release and testing services for our KYV-101 product candidate. Under our Development and Manufacturing Services Agreement with Elevate, dated July 2023, or the Elevate Agreement, we engaged Elevate in November 2024 to provide us with cell manufacturing, release and testing services for our KYV-101 product candidate. Pursuant to our Licence and Supply Agreement with Oxford Biomedica (UK) Limited, or Oxford, dated September 2023, or the Oxford Agreement, Oxford provides lentiviral vector for clinical and commercial use in our product candidates. We believe we currently have sufficient clinical-grade vector in inventory to move forward with our anticipated clinical trials.</w:t>
      </w:r>
    </w:p>
    <w:p>
      <w:pPr>
        <w:spacing w:after="0" w:line="7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231F20"/>
        </w:rPr>
        <w:t>We are also developing Ingenui-T, a manufacturing process designed to improve patient experience and manufacturing capabilities through partnerships with world-class organizations in cell therapy manufacturing. Under the Elevate Agreement, Elevate is undertaking process development services for the development of a rapid whole blood manufacturing process for our CAR T-cell products, including KYV-102.</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We expect to rely on our CMOs for the manufacturing of our product candidates to expedite readiness for future clinical trials, and most of these CMOs have capabilities for commercial manufacturing. All of our manufacturing operations performed by our CMOs are subject to the requirements of current Good Manufacturing Practices, or cGMPs, and, if applicable, the FDA’s current good tissue practice, or cGTP, requirements for the use of human cellular and tissue products, as described in regulations from the FDA, the Code of Federal Regulations, and equivalent regulations in all regions where our clinical candidates are studied.</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231F20"/>
        </w:rPr>
        <w:t>As clinical trial development progresses forward, we will continue to explore both internal capabilities as well as deepening and expanding external relationships to ensure we meet our manufacturing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Sales and Marketing</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231F20"/>
        </w:rPr>
        <w:t>We have not yet defined our sales, marketing or product distribution strategy for our product candidates because they are still in development. Our commercial strategy may include the use of strategic partners, distributors, a contract sales force or the establishment of our own commercial sales force. We plan to further evaluate these alternatives as we approach approval for our product candidates, if 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The biopharmaceutical industry is characterized by rapid advancing technologies, intense competition and a strong emphasis on proprietary and novel products and product candidates. Our product candidates, if approved, may address multiple markets. Ultimately, the diseases our product candidates target and for which we may receive marketing authorization will determine our competition. There are competing programs under development by other companies for our targeted indication scope, which is B-cell-driven autoimmune diseases. Many emerging and established life sciences companies have been focused on similar therapeutics, including CAR T-cell candidates for B-cell-driven autoimmune disease. Our product candidates, if approved, will have to compete with existing therapies and new therapies that may become available in the future. We face potential competition from many different sources, including larger and better-funded pharmaceutical, biopharmaceutical, biotechnological and therapeutics companies. In many cases, the companies with competing programs will have access to greater financial, technical, manufacturing, marketing, sales and supply resources, will have more expertise and experience than us and may be more advanced in those programs. Moreover, we may also compete with universities and other research institutions that may be active in research in our target indications and could be in direct competition with us.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believe our current and future competition can be grouped into the following broad categories:</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Companies working to develop biologics and other modalities, including large pharmaceutical and biotech companies;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Organizations providing stem cell transplant therapies, including hospitals and clinics.</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Companies developing biologics and other modalities include Roche Holding AG (currently markets Rituxan (rituximab), which is used for a broad number of autoimmune diseases and Ocrevus (ocrelizumab), both of which target CD20 on B cells), and others who have biologics aimed at other targets relevant to autoimmune diseases, including, for example, AbbVie, Johnson &amp; Johnson, Bristol Myers Squibb and Novartis. In terms of organizations providing stem cell transplant therapies, the procedure for stem cell transplants is non-proprietary and is performed by medical hematologists and oncologists in hospitals and clinics throughout the world.</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If we successfully obtain approval for any of our product candidates, we believe that the key competitive factors that will affect the success of these candidates will be efficacy, safety, tolerability, convenience, price and the availability of reimbursement from government and other third-party payors relative to such competing products. Our commercial opportunity could be reduced or eliminated if our competitors have products that are superior in one or more of these categories.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Intellectual property, including patents, trade secrets, trademarks and copyrights, is important to our business. Our commercial success depends in part on our ability to obtain and maintain proprietary intellectual property protection for our product candidates,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applications for U.S. and foreign patents relating to our product candidates, technology, inventions and improvements that are important to the development and implementation of our business.</w:t>
      </w:r>
    </w:p>
    <w:p>
      <w:pPr>
        <w:spacing w:after="0" w:line="187"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231F20"/>
        </w:rPr>
        <w:t>Our patent portfolio is built with a goal of establishing broad protection that generally includes, for the product candidates, claims directed to compositions of matter, pharmaceutical compositions or formulations, methods of manufacturing and methods of treatment. We are seeking and maintaining patent protection in the United States and key foreign jurisdictions where we intend to market our product candidates, if they are approved. Our patent portfolio includes a combination of pending patent applications solely owned by us and patents and pending patent applications licensed from the National Institutes of Health, or the NIH. As of March 1, 2025, our patent portfolio comprises nine distinct patent families protecting our technology relating to our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We in-license a patent family from the NIH relating to the CD19 CAR of our KYV-101, KYV-102, and KYV-201 product candidates. This patent family includes granted U.S. patents that include composition of matter claims. This patent family also includes patents granted in Australia, China, the European Patent Organization (validated in France, Germany, Ireland, Italy, Spain, and the United Kingdom), Hong Kong, Israel, India, Japan, South Korea, Mexico, New Zealand, Saudi Arabia, and Singapore, and pending patent applications in Australia, Canada, the European Patent Organization, Hong Kong, Israel, India, Japan, South Korea, Mexico, and the United States. The granted patents and the pending patent applications in this patent family, if issued, have a nominal expiration date of 2035, without accounting for any available patent term adjustments or extensions.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With respect to the KYV-101 product candidate, we own two patent families directed to methods of treating autoimmune diseases, such as lupus nephritis, using T cells expressing a CD19 CAR. The first patent family includes a pending U.S. utility patent application, and a pending patent application in Europe and Taiwan. The second patent family includes a pending international PCT patent application and a pending U.S. utility patent application. Patent applications in these patent families, or patent applications claiming priority to them, if issued, would have nominal expiration dates of 2043, without accounting for any available patent term adjustments or extensions.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We also own three patent families directed to methods of treating various autoimmune diseases using T cells expressing a CD19 CAR. The first patent family includes a pending international PCT patent application and a pending U.S. utility patent application, directed to methods of treating myasthenia gravis and stiff person syndrome. The second and third patent families each include a pending international PCT patent application, directed to methods of treating systemic sclerosis and multiple sclerosis, respectively. Patent applications in these patent families, or patent applications claiming priority to them, if issued, would have nominal expiration dates of 2044, without accounting for any available patent term adjustments or extensions.</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231F20"/>
        </w:rPr>
        <w:t>With respect to the KYV-201 product candidate, we own a patent family directed to allogeneic CD19 CAR T cells and methods of producing the allogeneic T cells. This patent family includes a pending international PCT patent application. Patent applications claiming priority to this patent application, if issued, would have a nominal expiration date of 2044, without accounting for any available patent term adjustments or extensions.</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With respect to manufacture of CAR T cells, we own two patent families directed to methods of producing CAR T cells using specific, shortened manufacturing processes that may use whole blood as a starting material and may improve cell product quality. Both patent families include pending PCT International non-provisional patent applications. Non-provisional patent applications entering national and/or regional stages claiming priority to these PCT International patent applications, if issued, would have a nominal expiration date of 2044, without accounting for any available patent term adjustments or extensions.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United States Patent and Trademark Office, or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granted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9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231F20"/>
        </w:rPr>
        <w:t>We may also rely on trade secrets relating to our discovery programs and product candidates, and seek to protect and maintain the confidentiality of proprietary information to protect aspects of our business that are not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amenable to, or that we do not consider appropriate for, patent protection.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Further, we have and will continue to pursue trademark protection for our company name and brand, as well as slogans and taglines and logos. As of March 1, 2025, we owned two registered trademarks in the United States and 17 registered trademarks in foreign jurisdictions comprising or incorporating the term “KYVERNA.” As of March 1, 2025, we owned two registered trademarks in the United States and eight registered trademarks in foreign jurisdictions comprising the Kyverna Compass Logo (</w:t>
      </w:r>
      <w:r>
        <w:rPr>
          <w:sz w:val="1"/>
          <w:szCs w:val="1"/>
          <w:color w:val="auto"/>
        </w:rPr>
        <w:drawing>
          <wp:inline distT="0" distB="0" distL="0" distR="0">
            <wp:extent cx="93980" cy="9461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Times New Roman" w:cs="Times New Roman" w:eastAsia="Times New Roman" w:hAnsi="Times New Roman"/>
          <w:sz w:val="18"/>
          <w:szCs w:val="18"/>
          <w:color w:val="231F20"/>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 Regulation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As a biopharmaceutical company that operates in the United States, we are subject to extensive regulation. Our cell products will be regulated as biologics. With this classification, commercial production of our products will need to occur in registered facilities in compliance with cGMP for biologics. The FDA categorizes human cell-or tissue-based products as either minimally manipulated or more than minimally manipulated, and has determined that more than minimally manipulated products require clinical trials to demonstrate product safety and efficacy and the submission of a BLA for marketing authorization. Our products are considered more than minimally manipulated and will require evaluation in clinical trials and the submission and approval of a BLA before we can market them.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Biological Product Development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In the United States, the FDA regulates biologics under the Federal Food, Drug, and Cosmetic Act, or the FDCA, and the Public Health Service Act, or the PHSA, and their implementing regulations. Biologics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result in delays to the conduct of a study, regulatory review and approval or subject an applicant to administrative or judicial sanctions. These sanctions could include, among other actions, the FDA’s refusal to approve pending applications, withdrawal of an approval, license suspension or revocation, refusal to allow an applicant to proceed with clinical trials, imposition of a clinical hold, issuance of untitled or warning letters, product recalls or withdrawals from the market, product seizures, total or partial suspension of production or distribution, injunctions, fines, refusals of government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231F20"/>
        </w:rPr>
        <w:t>contracts, restitution, disgorgement of profits or civil or criminal investigations or penalties. Any agency or judicial enforcement action could have a material adverse effect on us.</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Our drug product candidates must be approved by the FDA through the Biologics License Application, or BLA, process before they may be legally marketed in the United States. The process required by the FDA before a biologic may be marketed in the United States generally involves the following:</w:t>
      </w:r>
    </w:p>
    <w:p>
      <w:pPr>
        <w:spacing w:after="0" w:line="54" w:lineRule="exact"/>
        <w:rPr>
          <w:sz w:val="20"/>
          <w:szCs w:val="20"/>
          <w:color w:val="auto"/>
        </w:rPr>
      </w:pPr>
    </w:p>
    <w:p>
      <w:pPr>
        <w:ind w:left="1020" w:right="68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completion of extensive nonclinical, sometimes referred to as preclinical, laboratory tests, animal studies and formulation studies in accordance with applicable regulations, including the FDA’s Good Laboratory Practice, or GLP, regulations and standards;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adequate and well-controlled human clinical trials in accordance with applicable IND regulations, GCPs, and other clinical trial-related regulations to establish the safety and efficacy of the proposed drug product candidate for its proposed indication;</w:t>
      </w:r>
    </w:p>
    <w:p>
      <w:pPr>
        <w:spacing w:after="0" w:line="53"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 BLA, which includes not only the results of the clinical trials, but also, detailed information on the chemistry, manufacture and quality controls for the product candidate and proposed labeling;</w:t>
      </w:r>
    </w:p>
    <w:p>
      <w:pPr>
        <w:spacing w:after="0" w:line="53" w:lineRule="exact"/>
        <w:rPr>
          <w:rFonts w:ascii="Times New Roman" w:cs="Times New Roman" w:eastAsia="Times New Roman" w:hAnsi="Times New Roman"/>
          <w:sz w:val="18"/>
          <w:szCs w:val="18"/>
          <w:color w:val="231F20"/>
        </w:rPr>
      </w:pPr>
    </w:p>
    <w:p>
      <w:pPr>
        <w:ind w:left="1020" w:right="100" w:hanging="503"/>
        <w:spacing w:after="0" w:line="261"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satisfactory completion of an FDA pre-license or pre-approval inspection of the manufacturing facility or facilities where the product is produced to assess compliance with the FDA’s cGMP requirements to assure that the facilities, methods and controls are adequate to preserve the product’s identity, strength, quality, purity and potency, and, if applicable, the FDA’s cGTP requirements for the use of human cell and tissue products;</w:t>
      </w:r>
    </w:p>
    <w:p>
      <w:pPr>
        <w:spacing w:after="0" w:line="71"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FDA audit of the preclinical trial sites and/or clinical trial sites that generated the data in support of the BLA;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review and approval of the BLA prior to any commercial marketing or sale of the product in the United States.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data required to support a BLA is generated in two distinct development stages: preclinical and clinical. The preclinical development stage generally involves laboratory evaluations of drug chemistry, formulation and stability, as well as studies to evaluate toxicity in animals, which support subsequent clinical testing. The conduct of the preclinical studies must comply with federal regulations, including GLPs. The sponsor must submit the results of the preclinical studies together with manufacturing information, analytical data, any available clinical data or literature and a proposed clinical protocol, as well as other information,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product candidate at any time before or during clinical trials due to safety concerns, non-compliance or other issues affecting the integrity of the trial. Accordingly, we cannot be sure that submission of an IND will result in the FDA allowing clinical trials to begin, or that, once begun, issues will not arise that could cause the trial to be suspended or terminated.</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NIH Guidelines for Research Involving Recombinant or Synthetic Nucleic Acid Molecules, or the NIH Guidelines. Under the NIH Guidelines, recombinant and synthetic nucleic acids are defined as: (i) molecules that are constructed by joining nucleic acid molecules and that can replicate in a living cell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recombinant nucleic acids); (ii) nucleic acid molecules that are chemically or by other means synthesized or amplified, including those that are chemically or otherwise modified but can base pair with</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4" w:name="page25"/>
    <w:bookmarkEnd w:id="24"/>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naturally occurring nucleic acid molecules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8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The clinical stage of development involves the administration of the drug product candidate to healthy volunteers and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8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There are also requirements governing the reporting of ongoing clinical trials and completed clinical trial results to public registries. Sponsors of certain clinical trials of FDA-regulated products, including biologics, are required to register and disclose certain clinical trial information, which is publicly available at </w:t>
      </w:r>
      <w:r>
        <w:rPr>
          <w:rFonts w:ascii="Times New Roman" w:cs="Times New Roman" w:eastAsia="Times New Roman" w:hAnsi="Times New Roman"/>
          <w:sz w:val="18"/>
          <w:szCs w:val="18"/>
          <w:color w:val="000000"/>
        </w:rPr>
        <w:t>www.clinicaltrials.gov.</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Clinical trials are generally conducted in three sequential phases, known as Phase 1, Phase 2 and Phase 3, and may overlap. Phase 1 clinical trials generally involve a small number of healthy volunteers who are initially exposed to a single dose and then multiple doses of the drug product candidate. The primary purpose of these clinical trials is to assess the metabolism, pharmacologic action tolerability, adverse effects, safety of the drug product candidate and, if possible, to gain early evidence on effectiveness.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and are designed to provide the data necessary to demonstrate the efficacy of the product for its intended use and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 Generally, two adequate and well-controlled Phase 3 clinical trials are required by the FDA for approval of a BLA. In certain instances, FDA may condition approval of a BLA on the sponsor’s agreement to conduct additional clinical trials to further assess the biologic’s safety and effectiveness after BLA approval. Such post-approval trials are sometimes referred to as Phase 4 clinical trials. These trials are used to gain additional experience from the treatment of patients in the intended therapeutic indication and further document clinical benefit in the case of drugs approved under Accelerated Approval regulations. Failure to exhibit due diligence with regard to conducting Phase 4 clinical trials could result in withdrawal of approval for products or other consequences.</w:t>
      </w:r>
    </w:p>
    <w:p>
      <w:pPr>
        <w:spacing w:after="0" w:line="19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Progress reports detailing the results of the clinical trials, among other information, must be submitted at least annually to the FDA; written IND safety reports must be submitted to the FDA and the investigators for serious and unexpected suspected adverse events, findings from other studies suggesting a significant risk to humans exposed to the biologic, findings from animal or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testing that suggest a significant risk for human subjects and any clinically important increase in the rate of a serious suspected adverse reaction over that listed in the protocol or investigator brochure. Phase 1, Phase 2 and Phase 3 clinical trials may not be completed successfully within any specified period, if at all. The FDA, the IRB, or the sponsor may suspend or terminate a clinical trial at any time 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intervals based on access to certain data from the trial and may halt the clinical trial if it determines that there is an unacceptable safety risk for subjects or other grounds, such as interim data suggesting a lack of efficacy.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product candidate as well as finalize a process for manufacturing the product in commercial quantities in accordance with cGMP requirements. The manufacturing process must be capable of consistently producing quality batches of the drug product candidate and, among other things, must develop methods for testing the identity, strength, quality, potency and purity of the final product. Additionally, appropriate packaging must be selected and tested, and stability studies must be conducted to demonstrate that the drug product candidate does not undergo unacceptable deterioration over its shelf life.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BLA and FDA Review Process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Following trial completion, trial data are analyzed to assess safety and efficacy. The results of preclinical studies and clinical trials are then submitted to the FDA as part of a BLA, along with proposed labeling for the product and information about the manufacturing process and facilities that will be used to ensure product quality, results of analytical testing conducted on the chemistry of the drug product candidate and other relevant information. The BLA is a request for approval to market the biologic for one or more specified indications and must contain proof of safety, purity, potency and efficacy, which is demonstrated by extensive non-clinical and clinical testing. The application may include both negative or ambiguous results of preclinical and clinical trials as well as positive findings. Data may come from company-sponsored clinical trials intended to test the safety and efficacy of a use of a product,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must be obtained before a biologic may be marketed in the United States.</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Under the Prescription Drug User Fee Act, or PDUFA, as amended, each BLA must be accompanied by a significant user fee, which is adjusted on an annual basis. PDUFA also imposes an annual prescription drug product program fee. Fee waivers or reductions are available in certain circumstances, including a waiver of the application fee for the first application filed by a small business or for products that have received orphan drug designation by FDA.</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Once a BLA has been accepted for filing, which occurs, if at all, sixty days after the BLA’s submission, the FDA’s stated goal is to review BLAs within 10 months of the filing date for standard review or six months of the filing date for priority review, if the application is for a product intended for a serious or life-threatening condition and the product, if approved, would provide a significant improvement in safety or effectiveness. The FDA has substantial discretion in the approval process and may refuse to accept any application or decide that the data are insufficient for approval, and may require additional preclinical, clinical or other studies before it accepts the filing. Additionally, the review process is often significantly extended by FDA requests for additional information or clarification.</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After the BLA submission is accepted for filing, the FDA reviews the BLA to determine, among other things, whether the proposed drug product candidate is safe and effective for its intended use, and whether the drug product candidate is being manufactured in accordance with cGMP to assure and preserve the drug product candidate’s identity, strength, quality, purity and potency. The FDA may refer applications for novel drug product candidates or drug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conduct its own analysis of the clinical trial data, which could result in extensive discussions between the FDA and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31F20"/>
        </w:rPr>
        <w:t>us during the review process. The review and evaluation of a BLA by the FDA is extensive and time consuming and may take longer than originally planned to complete, and we may not receive a timely approval, if at all.</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Before approving a BLA, the FDA will conduct a pre-license or pre-approval inspection of the manufacturing facilities for the new product to determine whether the facilities comply with cGMPs and, if applicable, cGTP requirements. The FDA will not approve the product unless it determines that the manufacturing processes and facilities are in compliance with cGMP requirements and adequate to assure consistent production of the product within required specifications. In addition, before approving a BLA, the FDA may also audit data from clinical trials to ensure compliance with GCP requirements. After the FDA evaluates the application, manufacturing process and manufacturing facilities, it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will not be approved in its present form. A Complete Response Letter usually describes the specific deficiencies in the BLA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BLA, addressing all of the deficiencies identified in the letter, withdraw the application or request a hearing. Even if such data and information is submitted, the FDA may ultimately decide that the BLA does not satisfy the criteria for approval. Data obtained from clinical trials are not always conclusive, and the FDA may interpret data differently than we interpret the same data.</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applicable, the FDA also will not approve the product if we are not in compliance with cGTPs, which are requirements found in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87"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231F20"/>
        </w:rPr>
        <w:t>There is no assurance that the FDA will ultimately approve a product for marketing in the United States, and we may encounter significant difficulties or costs during the review process. If a product receives marketing approval, the approval may be significantly limited to specific populations, severities of allergies, and dosages or the indications for use may otherwise be limited, which could restrict the commercial value of the product. Furthermore, the FDA may require that certain contraindications, warnings or precautions be included in the product labeling or may condition the approval of the BLA on other changes to the proposed labeling, development of adequate controls and specifications, or a commitment to conduct post-market testing or clinical trials and surveillance to monitor the effects of approved products. For example, the FDA may require Phase 4 testing which involves clinical trials designed to further assess the product’s safety and effectiveness and may require testing and surveillance programs to monitor the safety of approved products that have been commercialized, including long-term follow up for certain cellular products. The FDA may also place other conditions on approvals including the requirement for a Risk Evaluation and Mitigation Strategy, or REMS, to assure the safe use of the product.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based on the results of post-market studies or surveillance programs. Additionally, post-approval, many types of changes to the approved product, such as adding new indications, changing manufacturing processes and adding labeling claims, are subject to further testing requirements and FDA review and approval. Such post-approval requirements can be costly and time-consuming and can affect the potential market and profitability of the product.</w:t>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7" w:name="page28"/>
    <w:bookmarkEnd w:id="27"/>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Orphan Designation and Exclusivity</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In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In January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the FDA intends to continue to apply its longstanding interpretation of the regulations to matters outside of the scope of the</w:t>
      </w:r>
      <w:r>
        <w:rPr>
          <w:rFonts w:ascii="Times New Roman" w:cs="Times New Roman" w:eastAsia="Times New Roman" w:hAnsi="Times New Roman"/>
          <w:sz w:val="18"/>
          <w:szCs w:val="18"/>
          <w:i w:val="1"/>
          <w:iCs w:val="1"/>
          <w:color w:val="231F20"/>
        </w:rPr>
        <w:t xml:space="preserve"> Catalyst </w:t>
      </w:r>
      <w:r>
        <w:rPr>
          <w:rFonts w:ascii="Times New Roman" w:cs="Times New Roman" w:eastAsia="Times New Roman" w:hAnsi="Times New Roman"/>
          <w:sz w:val="18"/>
          <w:szCs w:val="18"/>
          <w:color w:val="231F20"/>
        </w:rPr>
        <w:t>order – that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Expedited Development and Review Programs</w:t>
      </w:r>
    </w:p>
    <w:p>
      <w:pPr>
        <w:spacing w:after="0" w:line="11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231F20"/>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nonclinical or clinical data demonstrate the potential to address unmet medical needs for the condition. Fast track designation applies to the combination of the product and the specific indication for which it is being studied.</w:t>
      </w:r>
    </w:p>
    <w:p>
      <w:pPr>
        <w:spacing w:after="0" w:line="1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231F20"/>
        </w:rPr>
        <w:t>The sponsor of a new drug or biologic may request the FDA to designate the drug or biologic as a fast track product concurrently with, or at any time after, submission of an IND, and the FDA must determine if the product qualifies for fast track designation within 60 days of receipt of the sponsor’s request. Under the fast track designation,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Any product submitted to the FDA for marketing, including under a fast track program, may be eligible for other types of FDA programs intended to expedite development and review, such as priority review and accelerated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approval. Any product is eligible for priority review, or review within a six-month timeframe from the date a complete BLA is accepted for filing, if it has the potential to provide a significant improvement in safety and effectiveness compared to available therapies. The FDA will attempt to direct additional resources to the evaluation of an application for a new drug or biological product designated for priority review in an effort to facilitate the review.</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Additionally, a product may be eligible for accelerated approval. An investigational drug may obtain accelerated approval if it treats a serious or life-threatening condition and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biological product receiving accelerated approval perform adequate and well-controlled post-marketing clinical trials and, under the Food and Drug Omnibus Reform Act of 2022, or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Breakthrough Designation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A product can be designated as a breakthrough therapy if it is intended to treat a serious or life-threatening condition and preliminary clinical evidence indicates that it may demonstrate substantial improvement over existing therapies on one or more clinically significant endpoints. A sponsor may request that a drug product candidate be designated as a breakthrough therapy concurrently with, or at any time after, the submission of an IND, and the FDA must determine if the drug product candidate qualifies for breakthrough therapy designation within 60 days of receipt of the sponsor’s request. If so designated, the FDA shall act to expedite the development and review of the 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Accelerated Approval for Regenerative Medicine Advanced Therapies</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FDA’s regenerative medicine advanced therapy, or RMAT, program is intended to facilitate efficient development and expedite review of regenerative medicine advanced therapies, which are intended to treat, modify, reverse or cure a serious or life-threatening disease or condition. A drug sponsor may request that FDA designate a drug as an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An RMAT that is granted accelerated approval and is subject to post approval requirements may fulfill such requirements through the submission of clinical evidence, clinical studies, patient registries or other sources of real world evidence, such as electronic health records; the collection of larger confirmatory data sets; or post approval monitoring of all patients treated with such therapy prior to its approval.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Pediatric Trials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Under the Pediatric Research Equity Act, a BLA or supplement to a BLA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 Furthermore, with some exceptions, requirements under the Pediatric Research Equity Act generally do not apply to a biologic for an indication for which orphan designation has been granted.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Post-Marketing Requirements</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231F20"/>
        </w:rPr>
        <w:t>Following approval of a new product, a manufacturer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distribution, and tracking and tracing requirements and complying with promotion and advertising requirements, which include, among others, standards for direct-to-consumer advertising, restrictions on promoting products for uses or in patient populations that are not described in the product’s approved labeling (known as “off-label use”), limitations on industry-sponsored scientific and educational activities and requirements for promotional activities involving the internet. Although physicians may prescribe legally available drugs and biologics for off-label uses, manufacturers may not market or promote such off-label uses.</w:t>
      </w:r>
    </w:p>
    <w:p>
      <w:pPr>
        <w:spacing w:after="0" w:line="18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Modifications or enhancements to the product or its labeling or manufacturing changes are often subject to the approval of the FDA and other regulators, which may or may not be received or may result in a lengthy review process. Prescription drug promotional materials must be submitted to the FDA in conjunction with their first use.</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In the United States, once a product is approved, its manufacture is subject to comprehensive and continuing regulation by the FDA. The FDA regulations require that products be manufactured in specific approved facilities and in accordance with cGMPs.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announced and unannounced inspections by the FDA and certain state agencies for compliance with cGMP and other laws. Manufacturers are also subject to record requests from FDA that demonstrate cGMP compliance through data and other information.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BLA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BLA, including, among other things, recall or withdrawal of the product from the market.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The FDA also may require post-approval testing, sometimes referred to as Phase 4 testing, REMS and post-marketing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untitled or warning letters from the FDA, mandated corrective advertising or communications with health care professionals,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Regulatory Matters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Manufacturing, sales, promotion and other activities following product approval are also subject to regulation by numerous regulatory authorities in addition to the FDA, including, in the United States, the Centers for Medicare &amp; Medicaid Services, or CMS, other divisions of the Department of Health and Human Services, or HHS (</w:t>
      </w:r>
      <w:r>
        <w:rPr>
          <w:rFonts w:ascii="Times New Roman" w:cs="Times New Roman" w:eastAsia="Times New Roman" w:hAnsi="Times New Roman"/>
          <w:sz w:val="18"/>
          <w:szCs w:val="18"/>
          <w:i w:val="1"/>
          <w:iCs w:val="1"/>
          <w:color w:val="231F20"/>
        </w:rPr>
        <w:t>e.g.</w:t>
      </w:r>
      <w:r>
        <w:rPr>
          <w:rFonts w:ascii="Times New Roman" w:cs="Times New Roman" w:eastAsia="Times New Roman" w:hAnsi="Times New Roman"/>
          <w:sz w:val="18"/>
          <w:szCs w:val="18"/>
          <w:color w:val="231F20"/>
        </w:rPr>
        <w:t>, the Office of Inspector General and Office for Civil Rights),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federal and state fraud and abuse laws, data privacy and security laws, transparency laws and pricing and reimbursement requirements in connection with governmental payor programs, among others.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8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231F20"/>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6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231F20"/>
        </w:rPr>
        <w:t>The failure to comply with regulatory requirements subjects firms to possible legal or regulatory action. Depending on the circumstances, failure to meet applicable regulatory requirements can result in criminal prosecution, fines, restitution or other penalties, injunctions, recall or seizure of products, total or partial suspension of production or distribution, denial or withdrawal of product approvals or license suspension, refusals of government contracts, or other civil investigations or penalties.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8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231F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Patent Term Restoration and Marketing Exclusivity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Depending upon the timing, duration and specifics of the FDA approval of our drug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drug is eligible for the extension and, among other requirements,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w:t>
      </w:r>
    </w:p>
    <w:p>
      <w:pPr>
        <w:spacing w:after="0" w:line="1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An abbreviated approval pathway for biological products shown to be biosimilar to, or interchangeable with, an FDA-licensed reference biological product was created by the Biologics Price Competition and Innovation Act of 2009, or BPCI Act, which was part of the Patient Protection and Affordable Care Act, as amended by the Health Care and Education Reconciliation Act of 2010, or collectively the ACA. This amendment to the PHSA attempts to minimize duplicative animal or human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is generally shown through a combination of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that the product and the reference product may be switched after one has been previously administered without increasing safety risks or risks of diminished efficacy relative to exclusive use of the reference biological product. However, complexities associated with the larger, and often more complex, structure of biological products as compared to small molecule drugs, as well as the processes by which such products are manufactured, pose significant hurdles to implementation that are still being refined by the FDA.</w:t>
      </w:r>
    </w:p>
    <w:p>
      <w:pPr>
        <w:spacing w:after="0" w:line="19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231F20"/>
        </w:rPr>
        <w:t>A reference biological product is granted twelve years of exclusivity from the time of first licensure of the product, and the FDA will not accept an application for a biosimilar or interchangeable product based on the reference biological product until four years after first licensure.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Whether a subsequent application, if approved, warrants exclusivity as the “first licensure” of a biological product is determined on a case-by-case basis with data submitted by the sponsor.</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Pediatric exclusivity is another type of regulatory market exclusivity in the United States. Pediatric exclusivity, if granted, adds six months to existing exclusivity periods and patent terms. This six-month exclusivity, which attaches to the twelve-year exclusivity period for reference biologics, may be granted based on the voluntary completion of a pediatric trial in accordance with an FDA-issued “Written Request” for such a trial.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Pricing and Reimbursement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United States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Sales of our products will depend, in part, on the extent to which our products, if approved, will be covered and reimbursed by third-party payors, such as government health programs, commercial insurance and managed healthcare organizations. These third-party payors are increasingly reducing reimbursements for medical products and services. The process for determining whether a third-party payor will provide coverage for a drug product, including a biologic, typically is separate from the process for setting the price of a drug product or for establishing the reimbursement rate that a payor will pay for the drug product once coverage is approved. Third-party payors may limit coverage to specific drug products on an approved list, also known as a formulary, which might not include all of the approved drugs for a particular indication.</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In order to secure coverage and reimbursement for any drug product candidate that might be approved for sale, we may need to conduct expensive pharmacoeconomic studies in order to demonstrate the medical necessity and cost-effectiveness of the drug product candidate, in addition to the costs required to obtain FDA or other comparable regulatory approvals. Whether or not we conduct such studies, our drug product candidates may not be considered medically necessary or cost-effective. A third-party payor’s decision to provide coverage for a drug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9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231F20"/>
        </w:rPr>
        <w:t>product does not imply that an adequate reimbursement rate will be approved. Third party reimbursement may not be sufficient to enable us to maintain price levels high enough to realize an appropriate return on our investment in product development. In the United States, the principal decisions about reimbursement for new drug products are typically made by CMS, an agency within HHS. CMS decides whether and to what extent a new drug product will be covered and reimbursed under Medicare, and private payors tend to follow CMS to a substantial degree. However, no uniform policy of coverage and reimbursement for drug products exists among third-party payors and coverage and reimbursement levels for drug products can differ significantly from payor to payor. Additionally, one third-party payor’s decision to cover a particular product or service does not ensure that other payors will also provide coverage for the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w:t>
      </w:r>
    </w:p>
    <w:p>
      <w:pPr>
        <w:spacing w:after="0" w:line="17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The containment of healthcare costs has become a priority of federal and state governments, and the prices of drugs, including biologics,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For example, in 2023, the Centers for Medicare and Medicaid Services initiated the Cell and Gene Therapy, or CGT, Access Model. This voluntary payment model is designed to test whether a CMS-led approach to developing and administering outcomes-based agreements (OBAs) for cell and gene therapies would improve Medicaid beneficiaries’ access to innovative treatment. The new Trump Administration revoked the Executive Order under which this voluntary model is being conducted. If CMS proceeds with implementing the CGT model, states may begin to participate in the model in 2025. The possible impact of the CGT model is uncertain. In addition, at the U.S. state level, legislatures have increasingly passed legislation and implemented regulations designed to control pharmaceutical and biological product pricing, including price or provider reimbursement constraints, patient out-of-pocket cost caps for certain classes of therapy, discounts, restrictions on certain product access, marketing cost disclosure and other transparency measures, and, in some cases, measures designed to encourage importation from other countries and bulk purchasing.</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many countries, the prices of drug products are subject to varying price control mechanisms as part of national health systems. In general, the prices of drug products under such systems are substantially lower than in the United States. For example, in the European Union, pricing and reimbursement schemes vary widely from country to country. Some countries provide that products may be marketed only after a reimbursement price has been approved.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will likely continue as countries attempt to manage healthcare expenditures. Historically, products launched in the European Union do not follow price structures of the United States and generally prices tend to be significantly lower. Accordingly, in markets outside the United States, the reimbursement for drug products may be reduced compared with the United States. Adoption of price controls and cost-containment measures, and adoption of more restrictive policies in jurisdictions with existing controls and measures, could further limit our net revenue and results. Decreases in third-party reimbursement for our drug product candidate or a decision by a third-party payor to not cover our drug product candidate could reduce physician usage of the drug product candidate and have a material adverse effect on our sales, 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Healthcare Laws and Compliance Requirements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Healthcare providers, physicians and third-party payors will play a primary role in the recommendation and prescription of any products for which we obtain marketing approval. Our business operations in the United States and our current and future arrangements with clinical investigators, healthcare providers, consultants, third-party payors and patients may expose us to broadly applicable federal and state fraud and abuse and other healthcare laws and regulations that may constrain the business or financial arrangements and relationships through which we market, sell and distribute any drugs for which we obtain marketing approval. In the United States, these laws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include: the federal Anti-Kickback Statute, the False Claims Act, and the Health Insurance Portability and Accountability Act of 1996, or HIPAA.</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Anti-Kickback Statute makes it illegal for any person, including a prescription drug manufacturer (or a party acting on its behalf), to knowingly and willfully solicit, receive, offer or pay any remuneration, directly or indirectly, in cash or in kind,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a person or entity does not need to have actual knowledge of the statute or specific intent to violate it.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Although we would not submit claims directly to payors, drug manufacturers can be held liable under the federal civil False Claims Act, which imposes civil penalties against individuals or entities (including manufacturers) for, among other things, knowingly presenting, or causing to be presented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Anti-Kickback Statute are false or fraudulent claims for purposes of the False Claims Act. The federal False Claims Act also permits a private individual acting as a “whistleblower” to bring actions on behalf of the federal government alleging violations of the federal False Claims Act and to share in any monetary recovery. Penalties for a False Claims Act violation include three times the actual damages sustained by the government, plus mandatory civil penalties for each separate false claim, and the potential for exclusion from participation in federal healthcare programs. Although the federal False Claims Act is a civil statute, conduct that results in a False Claims Act violation may also implicate various federal criminal statutes. Our future sales and marketing activities, including price reporting activities for our products, if approved, are subject to scrutiny under this law.</w:t>
      </w:r>
    </w:p>
    <w:p>
      <w:pPr>
        <w:spacing w:after="0" w:line="19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Additionally, we may be subject to data privacy and security regulations by both the federal government and states in which we conduct our business. For example, HIPAA created new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HIPAA, as amended by the Health Information Technology for Economic and Clinical Health Act of 2009, or HITECH, and its implementing regulations,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covered entities, which include certain health care providers, health plans and healthcare clearinghouses,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231F20"/>
        </w:rPr>
        <w:t>enforce the federal HIPAA laws and seek attorney’s fees and costs associated with pursuing federal civil actions. In addition, certain state laws govern the privacy and security of health information and other personal data in certain circumstances, some of which are more stringent or otherwise different than HIPAA and many of which differ from each other in significant ways and may not have the same effect, thus complicating compliance efforts. Failure to comply with these laws, where applicable, can result in the imposition of significant civil and criminal penalties. Requirements for compliance under HIPAA are also subject to change, as the U.S Department of Health and Human Services Office of Civil Rights issued a proposed rule that would amend certain security compliance requirements for covered entities and business associates.</w:t>
      </w:r>
    </w:p>
    <w:p>
      <w:pPr>
        <w:spacing w:after="0" w:line="18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231F20"/>
        </w:rPr>
        <w:t>The FTC also sets expectations for failing to take appropriate steps to keep consumers’ personal information secure or failing to provide a level of security commensurate to promises made to an individual about the security of their personal information (such as in a privacy notice); such failures may constitute unfair or deceptive acts or practices in violation of Section 5(a) of the Federal Trade Commission Act.</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231F20"/>
        </w:rPr>
        <w:t>In addition, state laws govern the privacy and security of health information in specified circumstances, many of which differ from each other in significant ways and may not have the same effect, thus complicating compliance efforts.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Further, the federal Physician Payments Sunshine Act, or the Sunshine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18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231F20"/>
        </w:rPr>
        <w:t>We may become subject to federal government price reporting laws, which would require us to calculate and report complex pricing metrics in an accurate and timely manner to government programs, as well as federal consumer protection and unfair competition laws, which broadly regulate marketplace activities and activities that potentially harm consumers.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Some state laws require pharmaceutical companies to comply with the pharmaceutical industry’s voluntary compliance guidelines and the relevant federal government compliance guidance, and require drug manufacturers to report information related to payments and other transfers of value to physicians and other healthcare providers or marketing expenditures.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In order to distribute products commercially, we must comply with federal and state laws relating to drug supply chain traceability and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Federal laws require the implementation of systems to provide, capture, and maintain information about transactions involving drug products distributed within the United States and the trading partners who engaged in such transactions.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from government funded healthcare programs, such as Medicare and Medicaid and the curtailment or restructuring of our operations, any of which could adversely affect our ability to operate our business and our financial results.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Ensuring business arrangements comply with applicable healthcare laws, as well as responding to possible investigations by government authorities can be time-and resource-consuming, and can divert a company’s attention from the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Current and Future Legislation</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231F20"/>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17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For example, in 2010, the ACA was enacted in the United States. The ACA includes measures that have significantly changed, and are expected to continue to significantly change, the way healthcare is financed by both governmental and private insurers. Among the provisions of the ACA of greatest importance to the pharmaceutical industry are that the ACA:</w:t>
      </w:r>
    </w:p>
    <w:p>
      <w:pPr>
        <w:spacing w:after="0" w:line="68" w:lineRule="exact"/>
        <w:rPr>
          <w:sz w:val="20"/>
          <w:szCs w:val="20"/>
          <w:color w:val="auto"/>
        </w:rPr>
      </w:pPr>
    </w:p>
    <w:p>
      <w:pPr>
        <w:ind w:left="1020" w:right="160" w:hanging="503"/>
        <w:spacing w:after="0" w:line="261"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made several changes to the Medicaid Drug Rebate Program, including increasing pharmaceutical manufacturers’ rebate liability by raising the minimum basic Medicaid rebate on average manufacturer price, or AMP, on most branded prescription drugs and adding a new rebate calculation for “line extensions”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new formulations, such as extended release formulations) of solid oral dosage forms of branded products, as well as potentially impacting their rebate liability by modifying the statutory definition of AMP;</w:t>
      </w:r>
    </w:p>
    <w:p>
      <w:pPr>
        <w:spacing w:after="0" w:line="71" w:lineRule="exact"/>
        <w:rPr>
          <w:rFonts w:ascii="Times New Roman" w:cs="Times New Roman" w:eastAsia="Times New Roman" w:hAnsi="Times New Roman"/>
          <w:sz w:val="18"/>
          <w:szCs w:val="18"/>
          <w:color w:val="231F20"/>
        </w:rPr>
      </w:pPr>
    </w:p>
    <w:p>
      <w:pPr>
        <w:ind w:left="1020" w:right="54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imposed a requirement on manufacturers of branded drugs to provide a 70% point-of-sale discount as a condition for a manufacturer’s outpatient drugs being covered under Medicare Part D;</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extended a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expanded the entities eligible for discounts under the 340B Drug Discount Program;</w:t>
      </w:r>
    </w:p>
    <w:p>
      <w:pPr>
        <w:spacing w:after="0" w:line="11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imposed an annual, nondeductible fee on any entity that manufactures or imports certain branded prescription drugs, apportioned among these entities according to their market share in certain government healthcare programs; and</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61"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established a Patient-Centered Outcomes Research Institute to oversee, identify priorities in and conduct comparative clinical effectiveness research, along with funding for such research. The research conducted by the Patient-Centered Outcomes Research Institute may affect the market for certain pharmaceutical products. The ACA established the Center for Medicare and Medicaid Innovation within CMS to test innovative payment and service delivery models to lower Medicare and Medicaid spending, potentially including prescription drug spending.</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constitutionality of the ACA. It is possible that the ACA will be subject to judicial or Congressional challenges in the future.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Other legislative changes have been proposed and adopted in the United States since the ACA was enacted:</w:t>
      </w:r>
    </w:p>
    <w:p>
      <w:pPr>
        <w:spacing w:after="0" w:line="117" w:lineRule="exact"/>
        <w:rPr>
          <w:sz w:val="20"/>
          <w:szCs w:val="20"/>
          <w:color w:val="auto"/>
        </w:rPr>
      </w:pPr>
    </w:p>
    <w:p>
      <w:pPr>
        <w:jc w:val="both"/>
        <w:ind w:left="1020" w:right="120" w:hanging="503"/>
        <w:spacing w:after="0" w:line="261"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Budget Control Act of 2011 and subsequent legislation, among other things, created measures for spending reductions by Congress that include aggregate reductions of Medicare payments to providers of 2% per fiscal year, which remain in effect through the first half of 2032.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71" w:lineRule="exact"/>
        <w:rPr>
          <w:rFonts w:ascii="Times New Roman" w:cs="Times New Roman" w:eastAsia="Times New Roman" w:hAnsi="Times New Roman"/>
          <w:sz w:val="18"/>
          <w:szCs w:val="18"/>
          <w:color w:val="231F20"/>
        </w:rPr>
      </w:pPr>
    </w:p>
    <w:p>
      <w:pPr>
        <w:ind w:left="1020" w:right="40" w:hanging="503"/>
        <w:spacing w:after="0" w:line="261"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American Taxpayer Relief Act of 2012, which, among other things, further reduced Medicare payments to several providers and increased the statute of limitations period for the government to recover overpayments to providers from three to five years. Any reduction in reimbursement from Medicare or other government programs may result in a similar reduction in payments from private payors, which may adversely affect our future profitability.</w:t>
      </w:r>
    </w:p>
    <w:p>
      <w:pPr>
        <w:spacing w:after="0" w:line="71" w:lineRule="exact"/>
        <w:rPr>
          <w:rFonts w:ascii="Times New Roman" w:cs="Times New Roman" w:eastAsia="Times New Roman" w:hAnsi="Times New Roman"/>
          <w:sz w:val="18"/>
          <w:szCs w:val="18"/>
          <w:color w:val="231F20"/>
        </w:rPr>
      </w:pPr>
    </w:p>
    <w:p>
      <w:pPr>
        <w:ind w:left="1020" w:hanging="503"/>
        <w:spacing w:after="0" w:line="261"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May 30, 2018, the Right to Try Act was signed into law. The law, among other things, provides a federal framework for certain patients to request access to certain IND products that have completed a Phase 1 clinical trial and that are undergoing investigation for FDA approval. There is no obligation for a pharmaceutical manufacturer to make its drug products available to eligible patients as a result of the Right to Try Act.</w:t>
      </w:r>
    </w:p>
    <w:p>
      <w:pPr>
        <w:spacing w:after="0" w:line="71" w:lineRule="exact"/>
        <w:rPr>
          <w:rFonts w:ascii="Times New Roman" w:cs="Times New Roman" w:eastAsia="Times New Roman" w:hAnsi="Times New Roman"/>
          <w:sz w:val="18"/>
          <w:szCs w:val="18"/>
          <w:color w:val="231F20"/>
        </w:rPr>
      </w:pPr>
    </w:p>
    <w:p>
      <w:pPr>
        <w:ind w:left="1020" w:right="100" w:hanging="503"/>
        <w:spacing w:after="0" w:line="266"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6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May 23, 2019, CMS published a final rule to allow Medicare Advantage Plans the option of using step therapy for Part B drugs beginning January 1, 2020.</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In addition,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assistance programs and reform government program reimbursement methodologies for drugs. The Trump administration and Congress have indicated that they will continue to seek new measures to control drug costs.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Various industry stakeholders, including certain pharmaceutical companies and the Pharmaceutical Research and Manufacturers of America have initiated lawsuits against the federal government asserting that the price negotiation provisions of the IRA are unconstitutional. HHS has generally won the substantive disputes in these cases. Certain of these cases are now on appeal.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purchasing. In January 2024, FDA authorized Florida’s Agency for Health Care Administration’s drug importation program, which is the first step toward Florida facilitating importation of certain prescription drugs from Canada. Authorization of other state programs may follow as other states have submitted importation program proposals.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8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and may affect our overall financial condition and ability to develop product candidates.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Foreign Corrupt Practices Act</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231F20"/>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Additional Regulation</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Europe / Rest of World Government Regulation</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In addition to regulations in the United States, we may be subject to a variety of regulations in other jurisdictions that we may in the future select, which may govern, among other things, clinical trials and any commercial sales and distribution of our products. Whether or not we obtain FDA approval of a product, we would need to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requirements and process governing the conduct of clinical trials, product licensing, pricing and reimbursement vary from country to country. In all cases, the clinical trials must be conducted in accordance with GCPs and the applicable regulatory requirements and the ethical principles that have their origin in the Declaration of Helsinki.</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231F20"/>
        </w:rPr>
        <w:t>To obtain regulatory approval of an investigational drug or biological product under EU regulatory systems, we must submit an MAA. The application used to file the BLA in the United States is similar to that required in the EU, with the exception of, among other things, country-specific document requirements.</w:t>
      </w:r>
    </w:p>
    <w:p>
      <w:pPr>
        <w:spacing w:after="0" w:line="176"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231F20"/>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231F20"/>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General Data Protection Laws and Regulation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the ordinary course of our business, we and the third parties with whom we work process personal and sensitive data. Accordingly, we are, and may in the future become, subject to numerous data privacy and security obligations, including federal, state, local, and foreign laws, regulations, guidance, and industry standards related to data privacy, security, and protection. For example, we may be subject to the EU’s General Data Protection Regulation, or GDPR. The GDPR imposes stringent requirements for controllers and processors of personal data of persons in the EU, including, for example, more robust disclosures to individuals and a strengthened individual data rights regime, shortened timelines for data breach notifications, limitations on retention of information, increased requirements pertaining to special categories of data, such as health data and additional obligations when we contract with third-party processors in connection with the processing of the personal data. The GDPR also imposes strict rules on the transfer of personal data out of the EU to the United States and other third countries. In addition, the GDPR provides that EU member states may make their own further laws and regulations limiting the processing of personal data, including genetic, biometric or health data.</w:t>
      </w:r>
    </w:p>
    <w:p>
      <w:pPr>
        <w:spacing w:after="0" w:line="1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The GDPR applies extraterritorially, and we may be subject to the GDPR because of our data processing activities that involve the personal data of individuals located in the European Union, such as in connection with our EU clinical trials. Failure to comply with the requirements of the GDPR and the applicable national data protection laws of the EU member states may result in fines of up to €20,000,000 or up to 4% of the total worldwide annual turnover of the preceding financial year, whichever is higher, and other administrative penalties. GDPR regulations may impose additional responsibility and liability in relation to the personal data that we process, and we may be required to put in place additional mechanisms to ensure compliance with the new data protection rules.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Additionally, numerous US states have passed comprehensive data protection laws and all fifty states have in place breach notification laws that may be applicable to our activities. For example, the California Consumer Privacy Act, or CCPA, establishes rights for California residents to their personal data and specific provisions for sensitive personal data and sets certain notice, privacy and security requirements for entities subject to the CCPA. The CCPA or fines and allows private litigants affected by certain data breaches to recover significant statutory damages.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Human Capital Resources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As of March 1, 2025, we had </w:t>
      </w:r>
      <w:r>
        <w:rPr>
          <w:rFonts w:ascii="Times New Roman" w:cs="Times New Roman" w:eastAsia="Times New Roman" w:hAnsi="Times New Roman"/>
          <w:sz w:val="18"/>
          <w:szCs w:val="18"/>
          <w:color w:val="000000"/>
        </w:rPr>
        <w:t>112</w:t>
      </w:r>
      <w:r>
        <w:rPr>
          <w:rFonts w:ascii="Times New Roman" w:cs="Times New Roman" w:eastAsia="Times New Roman" w:hAnsi="Times New Roman"/>
          <w:sz w:val="18"/>
          <w:szCs w:val="18"/>
          <w:color w:val="231F20"/>
        </w:rPr>
        <w:t xml:space="preserve"> employees, all of whom were full-time. Of those, 84 were engaged in research and development activities. All of our employees are located in the United States. We do not have any employees that are represented by a labor union or covered under a collective bargaining agreement. We consider our relationship with our employees to be good.</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Our future success depends on our ability to attract, develop and retain key personnel, maintain our culture and ensure diversity and inclusion in our board of directors, management and broader workforce. Our human resources objectives include, as applicable, recruiting high caliber talent, retaining, incentivizing and motivating our existing and prospective employees. We aim to ensure a culture of high performance, innovation and accountability. The principal purposes of our equity incentive plans are to attract, retain and motivate selected employees,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31F20"/>
        </w:rPr>
        <w:t>consultants and directors through the granting of stock-based compensation awards. As these areas directly impact our ability to compete and innovate, they are key focus areas for our board of directors and senior executives.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To that end, in 2024 and 2025 we strengthened our management team with the addition of Warner Biddle, Chief Executive Officer; Naji Gehchan, MD, MSc, MBA, Chief Medical and Development Officer; Dan Maziasz, Chief Business Officer; Cara Bauer PhD, Chief Human Resources Officer; and Tracy Rossin, Senior Vice President of Corporate Affairs, Communications and Investor Relations. Additionally, we appointed Christi Shaw and Mert Aktar to the Board of Directors, bringing decades of industry leadership in corporate strategy and manufacturing expertise, including gene and cell therapy.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Properties and Facilities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Emeryville, California, where we house our administrative, manufacturing and R&amp;D activities. We currently lease approximately 68,000 square feet of space as our primary headquarters in Emeryville, California. One of the leases expires in January 2027, with an option for us to extend the term until January 2030. Another lease of approximately 35,000 square feet expires in February 2027 and does not have an option to extend the lease term. We believe that our existing facility is adequate to meet our current needs, and that suitable additional alternative spaces will be available in the future on commercially reasonable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Corporate Information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We were incorporated in Delaware in June 2018 under the name BAIT Therapeutics, Inc., and changed our name to Kyverna Therapeutics, Inc. in October 2019. Our principal executive offices are located at 5980 Horton St., STE 550, Emeryville, CA 94608, and our telephone number is (510) 925-2492.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Available Information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other filings with the Securities and Exchange Commission, or the SEC, and all amendments to these filings, can be obtained free of charge from our website following our filing of any of these reports with the SEC. </w:t>
      </w:r>
      <w:r>
        <w:rPr>
          <w:rFonts w:ascii="Times New Roman" w:cs="Times New Roman" w:eastAsia="Times New Roman" w:hAnsi="Times New Roman"/>
          <w:sz w:val="18"/>
          <w:szCs w:val="18"/>
          <w:color w:val="231F20"/>
        </w:rPr>
        <w:t>Our website address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https://kyvernatx.com/.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We do not incorporate the information on, or accessible through, our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into this Annual Report on Form 10-K, and you should not consider any information on, or accessible through, our website as part of this Annual Report on Form 10-K. We have included our website address in this Annual Report on Form 10-K solely as an inactive textual reference. </w:t>
      </w:r>
      <w:r>
        <w:rPr>
          <w:rFonts w:ascii="Times New Roman" w:cs="Times New Roman" w:eastAsia="Times New Roman" w:hAnsi="Times New Roman"/>
          <w:sz w:val="18"/>
          <w:szCs w:val="18"/>
          <w:color w:val="000000"/>
        </w:rPr>
        <w:t>The SEC maintains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internet site that contains reports, proxy and information statements and other information regarding issuers that file electronically with the SEC at www.sec.gov.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You should carefully consider and read the following risk factors, as well as the financial and other information contained in this Annual Report on Form 10-K, including in Part II, Item 7 titled “Management’s Discussion and Analysis of Financial Condition and Results of Operations” and in our financial statements and related notes included in Part II, Item 8 of this Annual Report on Form 10-K. Any of the following risks could have a material adverse effect on our business, financial condition, results of operations or prospects and cause the value of our stock to decline, which could cause you to lose all or part of your investment. The risks described below are not the only ones facing us. Additional risks and uncertainties of which we are unaware, or that we currently deem immaterial, also may become important factors that affect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ind w:left="503" w:right="10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w:t>
      </w:r>
    </w:p>
    <w:p>
      <w:pPr>
        <w:spacing w:after="0" w:line="67" w:lineRule="exact"/>
        <w:rPr>
          <w:rFonts w:ascii="Times New Roman" w:cs="Times New Roman" w:eastAsia="Times New Roman" w:hAnsi="Times New Roman"/>
          <w:sz w:val="18"/>
          <w:szCs w:val="18"/>
          <w:color w:val="auto"/>
        </w:rPr>
      </w:pPr>
    </w:p>
    <w:p>
      <w:pPr>
        <w:ind w:left="503" w:right="16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503" w:right="20" w:hanging="503"/>
        <w:spacing w:after="0" w:line="261"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purposes of obtaining regulatory approval.</w:t>
      </w:r>
    </w:p>
    <w:p>
      <w:pPr>
        <w:spacing w:after="0" w:line="67" w:lineRule="exact"/>
        <w:rPr>
          <w:rFonts w:ascii="Times New Roman" w:cs="Times New Roman" w:eastAsia="Times New Roman" w:hAnsi="Times New Roman"/>
          <w:sz w:val="18"/>
          <w:szCs w:val="18"/>
          <w:color w:val="auto"/>
        </w:rPr>
      </w:pPr>
    </w:p>
    <w:p>
      <w:pPr>
        <w:ind w:left="503" w:right="100" w:hanging="503"/>
        <w:spacing w:after="0" w:line="261"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fail to remediate these material weaknesses, or if we experience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71" w:lineRule="exact"/>
        <w:rPr>
          <w:rFonts w:ascii="Times New Roman" w:cs="Times New Roman" w:eastAsia="Times New Roman" w:hAnsi="Times New Roman"/>
          <w:sz w:val="18"/>
          <w:szCs w:val="18"/>
          <w:color w:val="auto"/>
        </w:rPr>
      </w:pPr>
    </w:p>
    <w:p>
      <w:pPr>
        <w:jc w:val="both"/>
        <w:ind w:left="503" w:right="30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w:t>
      </w:r>
    </w:p>
    <w:p>
      <w:pPr>
        <w:spacing w:after="0" w:line="67" w:lineRule="exact"/>
        <w:rPr>
          <w:rFonts w:ascii="Times New Roman" w:cs="Times New Roman" w:eastAsia="Times New Roman" w:hAnsi="Times New Roman"/>
          <w:sz w:val="18"/>
          <w:szCs w:val="18"/>
          <w:color w:val="auto"/>
        </w:rPr>
      </w:pPr>
    </w:p>
    <w:p>
      <w:pPr>
        <w:jc w:val="both"/>
        <w:ind w:left="503" w:right="14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67"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clinical trials, our clinical development activities could be delayed or otherwise adversely affected, which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503" w:right="10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made substantial investments into the rapid development of novel treatments for immunological indications, including large and specialty pharmaceutical and biotechnology companies, some of which already have approved therapies in our current indications.</w:t>
      </w:r>
    </w:p>
    <w:p>
      <w:pPr>
        <w:spacing w:after="0" w:line="67"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product candidates could be associated with side effects, adverse events or other properties or safety risks, which could cause us to suspend or discontinue clinical trials, abandon a product candidate, delay or preclude approval, prevent market acceptance, limit the commercial profile of an approved label or result in other significant negative consequences that could severely harm our business, results of operations and financial condition.</w:t>
      </w:r>
    </w:p>
    <w:p>
      <w:pPr>
        <w:spacing w:after="0" w:line="71" w:lineRule="exact"/>
        <w:rPr>
          <w:rFonts w:ascii="Times New Roman" w:cs="Times New Roman" w:eastAsia="Times New Roman" w:hAnsi="Times New Roman"/>
          <w:sz w:val="18"/>
          <w:szCs w:val="18"/>
          <w:color w:val="auto"/>
        </w:rPr>
      </w:pPr>
    </w:p>
    <w:p>
      <w:pPr>
        <w:ind w:left="503" w:right="60" w:hanging="503"/>
        <w:spacing w:after="0" w:line="261"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or become more costly or unsuccessful, and we may never be able to seek or obtain regulatory approval for or commercialize our product candidates.</w:t>
      </w:r>
    </w:p>
    <w:p>
      <w:pPr>
        <w:spacing w:after="0" w:line="71" w:lineRule="exact"/>
        <w:rPr>
          <w:rFonts w:ascii="Times New Roman" w:cs="Times New Roman" w:eastAsia="Times New Roman" w:hAnsi="Times New Roman"/>
          <w:sz w:val="18"/>
          <w:szCs w:val="18"/>
          <w:color w:val="auto"/>
        </w:rPr>
      </w:pPr>
    </w:p>
    <w:p>
      <w:pPr>
        <w:ind w:left="503" w:right="14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spacing w:after="0" w:line="39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41" w:name="page42"/>
    <w:bookmarkEnd w:id="41"/>
    <w:p>
      <w:pPr>
        <w:spacing w:after="0" w:line="86" w:lineRule="exact"/>
        <w:rPr>
          <w:sz w:val="20"/>
          <w:szCs w:val="20"/>
          <w:color w:val="auto"/>
        </w:rPr>
      </w:pPr>
    </w:p>
    <w:p>
      <w:pPr>
        <w:ind w:left="1020" w:right="1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develop current and any future product candidates on acceptable terms.</w:t>
      </w:r>
    </w:p>
    <w:p>
      <w:pPr>
        <w:spacing w:after="0" w:line="53"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31" w:lineRule="exact"/>
        <w:rPr>
          <w:rFonts w:ascii="Times New Roman" w:cs="Times New Roman" w:eastAsia="Times New Roman" w:hAnsi="Times New Roman"/>
          <w:sz w:val="17"/>
          <w:szCs w:val="17"/>
          <w:color w:val="auto"/>
        </w:rPr>
      </w:pPr>
    </w:p>
    <w:p>
      <w:pPr>
        <w:ind w:left="1020" w:right="40" w:hanging="503"/>
        <w:spacing w:after="0" w:line="253"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28, 2023, the FDA issued a statement that it is investigating serious risk of T-cell malignancy following BCMA-directed or CD19-directed autologous chimeric antigen receptor (CAR) T cell immunotherapies, such as KYV-101, and in January 2024, the FDA notified the manufacturers of the six FDA-approved BCMA-directed and CD19-directed chimeric CAR genetically modified autologous T-cell therapies that their products’ safety information must be updated to include a boxed warning that T-cell malignancies have occurred following treatment with BCMA-directed and CD19-directed genetically modified autologous T-cell immunotherapies. In April 2024, the FDA issued a public safety statement announcing its initiation of the class labeling changes and noting that patients and clinical trial participants receiving treatment with these products should be monitored life-long for secondary malignancies.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warning on any of our product candidates that receive regulatory approval or impose additional post-approval requirements on any of our product candidates that receive regulatory approval.</w:t>
      </w:r>
    </w:p>
    <w:p>
      <w:pPr>
        <w:spacing w:after="0" w:line="8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common stock and will be able to control matters subject to stockholder approval.</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Limited Operating History and Financial Position</w:t>
      </w:r>
    </w:p>
    <w:p>
      <w:pPr>
        <w:spacing w:after="0" w:line="117" w:lineRule="exact"/>
        <w:rPr>
          <w:sz w:val="20"/>
          <w:szCs w:val="20"/>
          <w:color w:val="auto"/>
        </w:rPr>
      </w:pPr>
    </w:p>
    <w:p>
      <w:pPr>
        <w:ind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w:t>
      </w:r>
    </w:p>
    <w:p>
      <w:pPr>
        <w:spacing w:after="0" w:line="28" w:lineRule="exact"/>
        <w:rPr>
          <w:sz w:val="20"/>
          <w:szCs w:val="20"/>
          <w:color w:val="auto"/>
        </w:rPr>
      </w:pPr>
    </w:p>
    <w:p>
      <w:pPr>
        <w:jc w:val="both"/>
        <w:ind w:right="120" w:firstLine="509"/>
        <w:spacing w:after="0" w:line="257" w:lineRule="auto"/>
        <w:rPr>
          <w:sz w:val="20"/>
          <w:szCs w:val="20"/>
          <w:color w:val="auto"/>
        </w:rPr>
      </w:pPr>
      <w:r>
        <w:rPr>
          <w:rFonts w:ascii="Times New Roman" w:cs="Times New Roman" w:eastAsia="Times New Roman" w:hAnsi="Times New Roman"/>
          <w:sz w:val="18"/>
          <w:szCs w:val="18"/>
          <w:color w:val="auto"/>
        </w:rPr>
        <w:t>We are a clinical stage biotechnology company with a limited operating history. We were formed in 2018 and we have devoted substantially all of our efforts and financial resources to organizing and staffing our company, business planning, raising capital, discovering product candidates and securing related intellectual property rights, and conducting research and development activities for our product candidates, including KYV-101 and KYV-201.</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Consequently, we have no meaningful operations upon which to evaluate our business and predictions about our future success, and viability may not be as accurate as they could be if we had a longer operating history or a history of successfully developing and commercializing program candidates. Investment in biotechnology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not yet demonstrated the ability to progress any product candidate through clinical trials, we have no products approved for commercial sale and we have not generated any revenue from product sales to date. We continue to incur significant research and development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other expenses related to our ongoing operations. As a result, we are not profitable and we have incurred net losses since our inception through December 31, 2024. For the years ended December 31, 2024 and 2023, we reported a net loss of $127.5 million and $60.4 million, respectively. As of December 31, 2024, we had an accumulated deficit of $263.5 million. We expect to continue to incur significant losses for the foreseeable future, and we expect these losses to increase as we continue our research and development of our product candidates, and seek regulatory approvals for our product candidates.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further clinical trials for KYV-101 and KYV-201 and our other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other acquisitions, and conduct development activities, including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product candidates or any future product candidates, if approved;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maintain, expand, enforce and defend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third-party interference, infringement and other intellectual property claims,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market developments;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in our preclinical studies or clinical trials and regulatory approval for our product candidates, including as a result of macroeconomic conditions, geopolitical conflicts or other factors;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international expansion;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and any current or potential future collaborators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the price or of common stock, and could impair our ability to raise capital, maintain our research and development efforts, expand our business or continue our operations. A decline in the value of our company also could cause you to lose all or part of your investment.</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(deficit) equity and working capital.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our inception. We expect to continue to spend substantial amounts to continue the preclinical and clinical development of, and seek regulatory approval for, KYV-101, KYV-201 and any future product candidates.</w:t>
      </w:r>
    </w:p>
    <w:p>
      <w:pPr>
        <w:spacing w:after="0" w:line="180"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Because the design and outcome of our planned and anticipated preclinical studies and clinical trials are highly uncertain, we cannot reasonably estimate the actual amounts necessary to successfully complete the development and commercialization of any product candidates we develop. If we are required by the U.S. Food and Drug Administration, or the FDA, or any comparable foreign regulatory authority to perform clinical trials or preclinical studies in addition to those that we currently anticipate, our expenses could increase. In addition, if we obtain regulatory approval to market any of our product candidates, we expect to incur significant commercialization expenses related to product sales, marketing, manufacturing and distribution. Other unanticipated costs may also arise.</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will incur additional costs associated with operating as a public company. Accordingly, we will need to obtain substantial additional funding in order to maintain our continuing operations.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sales of our product candidates, if ever, 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7"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or for which regulatory approval to market has been sought. We have invested a significant portion of our efforts and financial resources in the development of our product candidates, each of which is still in clinical development, and expect that we will continue to invest heavily in these product candidates, as well as in any future product candidates we may develop. Our business and our ability to generate revenue, which we do not expect will occur for many years, if ever, are substantially dependent on our ability to develop, obtain regulatory approval for, and then successfully commercialize our product candidates, which may never occur.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candidates will require substantial additional preclinical and clinical development time, regulatory approval, commercial manufacturing arrangements, establishment of a commercial organization, significant marketing efforts and further investment before we can generate any revenue from product sales. We currently generate no revenue and we may never be able to develop or commercialize any products.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Even if our product candidates are successful in clinical trials, we will not be permitted to market or promote any of our product candidates until we receive regulatory approval from the FDA or comparable foreign regulatory authorities, and we may never receive sufficient regulatory approval that will allow us to successfully commercialize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cannot be certain that our current or any future product candidates will be successful in clinical trials or receive regulatory approval. The FDA may also consider its approvals of competing products, which may alter the treatment landscape, concurrently with their review of our investigational new drug applications, or INDs, or other submissions,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INDs or other submissions.</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is approved for marketing by applicable regulatory authorities, our ability to generate revenue from such product will depend on our ability to:</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products through contract manufacturing organizations, or CMOs, in sufficient quantities and at acceptable quality and manufacturing cost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permits broad product adoption;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other therapies in development;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products through our own marketing and sales activities, and any other arrangements to promote these products that we may otherwise establish;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commercialize any of our products that receive regulatory approval;</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reimbursement and collections for any of our products that receive regulatory approval as part of the commercialization process;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healthcare professionals, patient advocacy groups, and communication of healthcare economic information to payors and formularies;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products will be used as directed and that additional unexpected safety risks will not arise.</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and resources to new compliance initiatives.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the listing requirements of The Nasdaq Stock Market LLC, or Nasdaq, and other applicable securities rules and regulations. Complying with these rules and regulations has increased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controls and other finance personnel or consultants in order to develop and implement appropriate internal controls and reporting procedures, which will increase our costs and expenses.</w:t>
      </w:r>
    </w:p>
    <w:p>
      <w:pPr>
        <w:spacing w:after="0" w:line="18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fail to remediate these material weaknesses, or if we experience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discussed in Part II, Item 9A of our Annual report on Form 10-K for the year ended December 31, 2023, we previously identified material weaknesses in the design and operating effectiveness of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did not appropriately design and maintain entity-level controls impacting the control environment, risk assessment, control activities, information and communication and monitoring activities to prevent or detect material misstatements to the financial statements. These material weaknesses related to (i) an insufficient number of qualified resources to ensure adequate oversight and accountability over the performance of controls, including retention of control evidence, (ii) ineffective identification and assessment of risks impacting internal control over financial reporting, and (iii) insufficient evaluation and determination as to whether the components of internal controls were present and functioning based upon evidence maintained for management review controls and activity level controls across substantially all financial statement areas.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These material weaknesses contributed to the following additional material weakness: we did not design and maintain effective (i) general controls over information systems that support the financial reporting process, (ii) controls over the completeness and accuracy of information used in the operation of control activities across substantially all financial statement areas, and (iii) management review controls at a sufficient level of precision to detect a material misstatement across substantially all financial statement areas that involve complex and judgmental areas of accounting and disclosure.</w:t>
      </w:r>
    </w:p>
    <w:p>
      <w:pPr>
        <w:spacing w:after="0" w:line="180"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substantially all of our accounts or disclosures that would result in a material misstatement of our annual or interim financial statements that would not be prevented or detected.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our management, with the oversight of the Audit Committee of our board of directors, took substantial measures toward remediating the control deficiencies contributing to the material weaknesses. Specifically, we completed an initial risk assessment process and continue to focus on the principles of the Committee of Sponsoring Organizations of the Treadway Commission, or COSO, framework related to risk assessment; we have engaged a third-party consulting firm to advise and assist in documenting the design and implementation of internal controls over the financial reporting process, including general controls over information systems; and we have hired additional accounting and IT personnel, including but not limited to a Vice President of Accounting/Corporate Controller, a Head of Information Technology, and an Assistant Controller. Our management is committed to maintaining a strong internal control environment and to continuing to implement a strong system of controls and believe that our ongoing remediation efforts, particularly in the improvement of our control environment, will result in significant improvements to our system of controls. However,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We will continue to implement new procedures and controls and take efforts to address each of the identified weaknesses. These remediation measures will be time consuming and require financial and operational resources.</w:t>
      </w:r>
    </w:p>
    <w:p>
      <w:pPr>
        <w:spacing w:after="0" w:line="19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We may not be able to implement improvements to our management information and control systems in an efficient or timely manner and may discover deficiencies in existing systems and controls.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Refer to the section titled “Controls and Procedures” in Part II, Item 9A of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 candidates, if approved, do not achieve broad market acceptance, the revenue that we generate from their sales will be limited.</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beyond our control, including:</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tolerability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 associated with our product candidates, and how the safety and tolerability profile of our product candidates compares to those of existing therapies, or those under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6"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risk evaluation and mitigation strategy, or REMS, or voluntary risk management plan;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and cost of administration of such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as compared to the clinical benefit in relation to alternative treatments or therapies;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patients to switch from their existing therapy regardless of the safety and efficacy and/or logistical ease of newer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 we conduct clinical trials of our current or future product candidates and as our product candidates are used in named patient activities,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FDA, the European Medicines Agency, or the EMA,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are seeking to target are often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heavily immunosuppressed and may be more likely to experience serious adverse events with potential treatments and have higher morbidity rates generally than other patient populations. We may need to obtain higher levels of product liability insurance for later stages of clinical development or marketing any of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29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March 1, 2025, we had 112 full-time employees. As our development and commercialization plans and strategies develop, and as we transition into operating as a public company, we expect to expand our employee base for managerial, operational, financial and other resources. In addition, we have limited experience in manufacturing, marketing and commercialization.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our success depends in part on our continued ability to attract, retain and motivate highly qualified management, clinical and scientific personnel. We are highly dependent upon our Chief Executive Officer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San Francisco Bay Area. Given the scarcity of professionals with the scientific knowledge that we require and the competition for qualified personnel among biotechnology businesses, we may not succeed in attracting or retaining the personnel we require to continue and grow our operations.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adversely affect our business, results of operations and financial condition.</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contractors or partners. Misconduct by these parties could include failures to comply with FDA regulations or comparable foreign regulations, to provide accurate information to the FDA or comparable foreign authorities, to comply with federal, state or foreign healthcare fraud and abuse laws and regulations, to report financial information or data timely, completely or accurately, or to disclose unauthorized activities to us, or failure to comply with comparable foreign requirements. It is not always possible to identify and deter misconduct, and the precautions we take to detect and prevent this activity may not be effective in controlling unknown or unmanaged risks or losses or in protecting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p>
    <w:p>
      <w:pPr>
        <w:spacing w:after="0" w:line="287"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2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if we were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or NOL, carryforwards and certain other tax attributes to offset taxable income or taxes may be limited.</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2024, we had federal NOL carryforwards of $79.2 million and state NOL carryforwards of $205.2 million. Under the Internal Revenue Code of 1986, as amended, or the Code, our U.S. federal net operating losses will not expire and may be carried forward indefinitely but the deductibility of federal net operating losses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performed a Section 382 study as of December 31, 2023, and expect approximately $2.0 million of federal net operating losses and $1.9 million California net operating losses to expire unused due to Section 382 limitations. As of December 31, 2024, the Section 382 study was updated and we concluded that there were no ownership changes during 2024. Furthermore, there may be additional ownership changes in the future, including as a result of subsequent changes in our stock ownership, some of which may be outside of our control. As a result, if we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future changes to tax laws could materially adversely affect our company.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Inflation Reduction Act, or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Additionally, 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Trump administration has proposed various U.S. federal tax law changes that, if enacted, could have a material impact on our business, cash flows, financial condition or results of operations. It is also uncertain if and to what extent various states will conform to federal tax laws.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 Future tax reform legislation could have a material impact on the value of our deferred tax assets, could result in significant one-time charges, and could increase our future tax expense.</w:t>
      </w:r>
    </w:p>
    <w:p>
      <w:pPr>
        <w:spacing w:after="0" w:line="29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concentrated in one location, and we or the third parties upon whom we depend may be adversely affected by a wildfire and earthquake or other natural disasters and our business continuity and disaster recovery plans may not adequately protect us from a serious disaster.</w:t>
      </w:r>
    </w:p>
    <w:p>
      <w:pPr>
        <w:spacing w:after="0" w:line="5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contract research organizations, or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29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Following the COVID-19 pandemic and in connection with geopolitical conflicts, global economic and business activities continue to face widespread uncertainties. A severe or prolonged economic downturn, or additional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For example, the failures of Silicon Valley Bank, Signature Bank and First Republic Bank in the first half of 2023 resulted in significant disruption in the financial services industry. If any of the banks which hold our cash deposits were to be placed into receivership, we may be unable to access our cash, cash equivalents and available-for-sale marketable securities, which would adversely affect our business. In addition, if any of the third parties on which we rely to conduct certain aspects of our preclinical studies or clinical trials are unable to access funds pursuant to such instruments or lending arrangements with such a financial institution, such parties’ ability to fulfill their obligations to us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directors or officers may be subject to securities litigation, which is expensive and could divert management attention.</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may be the target of securities litigation in the future, including based on volatility in the market price of our stock and, as described more fully below, are currently named as a defendant in a recently filed securities class action complaint. The stock market in general, and Nasdaq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In addition, certain of our directors and officers are involved in ongoing securities or other lawsuits in the context of their roles with other public companies, and our directors or officers may in the future become involved in such litigation. Securities litigation (including the cost to defend against, and any potential adverse outcome resulting from any such proceeding) can be expensive, time-consuming, damage our reputation and divert our management’s and board of directors’ attention from other business concerns, which could seriously harm our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business. As noted above, in December 2024, a shareholder class action complaint, or the Complaint, was filed in the United States District Court for the Northern District of California against our company, certain of our current and former officers and directors, and the underwriters of our initial public offering. The Complaint alleges that the registration statement on Form S-1 filed in connection with our initial public offering and the prospectus contained therein contained material misstatements or omissions in violation of federal securities laws. We believe we have good and substantial defenses to the claims in the complaint, but there is no guarantee that we will be successful in these efforts. We are unable to determine whether any loss ultimately will occur or to estimate the range of such loss; therefore, no amount of loss has been accrued by us in our financial statements for the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Research, Development and Commercialization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large-scale or pivotal clinical trials, and we may be unable to do so for any product candidates we develop.</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not yet demonstrated our ability to successfully complete any large-scale or pivotal clinical trials, obtain regulatory approvals, manufacture a commercial scale product, or arrange for a third party to do so on our behalf, or conduct sales and marketing activities necessary for successful commercialization. Although our key employees have significant experience in leading clinical development programs, our experience conducting clinical trials with our product candidates is limited. Developing cell therapies, in particular autologous cell therapies, is a complex and resource-intensive process requiring a team of scientists, clinicians, and technical and regulatory experts. We may not be able to file INDs for any of our other product candidates on the timelines we expect, if at all. For example, we cannot be certain that the IND-enabling studies for our product candidates will be completed in a timely manner or be successful or that the manufacturing process will be validated in a timely manner. Even if we submit an IND for a product candidate, the FDA may not clear the IND and allow us to begin clinical trials in a timely manner or at all. The timing of submissions of INDs for our product candidates will be dependent on further preclinical and manufacturing success. Moreover, we cannot be sure that submission of an IND will result in the FDA allowing further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p>
    <w:p>
      <w:pPr>
        <w:spacing w:after="0" w:line="19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Additionally, we believe, through our interactions with the FDA under our Regenerative Medicine Advanced Therapy, or RMAT, designation, that our phase 2 trial in SPS, which we refer to as a pivotal trial, will be sufficient for use as a registration-enabling study, However, the FDA or other regulatory agencies may conclude that the trial is not sufficient to be registration-enabling to support a Biologic License Application, or BLA, or similar submission in other jurisdictions. 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have the product removed from the market after obtaining marketing approval.</w:t>
      </w:r>
    </w:p>
    <w:p>
      <w:pPr>
        <w:spacing w:after="0" w:line="329"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regulatory approval.</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8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supply our investigational product candidate, KYV-101, in investigator-initiated trials and on a named patient basis to patients who have exhausted other treatment options and for whom there is a strong scientific rationale to support the use of an unapproved product candidate. The investigator-initiated trials we supply to are located in the United States and Germany, and the independent investigators of such trials file INDs for the treatment of multiple or individual patients with KYV-101. We have also supplied KYV-101 for use in single named patients in Germany, through a European distributor. In Germany, these single-patient efforts are termed “Individueller Heilversuch,” or single-patient treatment healing attempts, and occur outside of a controlled clinical trial setting and are not part of a codified German regulatory path. “Individueller Heilversuch” is a form of compassionate use treatment for an individual patient in Germany, where a procedure or treatment that has not received marketing authorization may be used for the expected benefit of a patient who has exhausted all available treatment options, under the discretion of the treating physician. The provision of KYV-101 on a named patient basis and in investigator-initiated trials are not a substitute for, or intended to replace, our clinical trials. The primary goal of these compassionate use treatments is not to assess the effectiveness, but rather to provide a treatment option to patients who have exhausted all other options. We evaluate whether to grant such access or similar access in other foreign countries to KYV-101 outside of our sponsored clinical trials on a case-by-case basis.</w:t>
      </w:r>
    </w:p>
    <w:p>
      <w:pPr>
        <w:spacing w:after="0" w:line="19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control the design, administration or timing of investigator-initiated trials. Similarly, named patient treatments are carried out by independent physicians in a manner that the physician determines in his or her discretion to be appropriate, which may be inconsistent from patient to patient and may not be conducted in strict compliance with good clinical practices, or GCPs, which can lead to a treatment effect that may differ from that in our controlled clinical trials. In addition, we rely on each investigator and physician to ensure their own compliance with clinical and regulatory requirements in using our product candidate for investigator-initiated trials and named patient activities, and we could be subject to liability if they are out of compliance. Individual patient results from named patient settings, including, but not limited to, data, experiences, images or videos, are observational, patient-specific and reported by the patients’ respective physicians. Because of our lack of control over the settings in which these patients are given KYV-101, there can be no assurances that any positive results from such named patient activities are attributable to KYV-101, or that administration of KYV-101 to other patients will have similar positive results. Patient data from these trials and named patient activities are not designed to be aggregated or reported as results and may be highly variable.</w:t>
      </w:r>
    </w:p>
    <w:p>
      <w:pPr>
        <w:spacing w:after="0" w:line="19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investigator-initiated trials and named patient activities may not be used to establish safety or efficacy for purposes of obtaining regulatory approval.</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contrast, such trials and named patient activities could potentially identify significant concerns with respect to our product candidates that could impact our findings or clinical trials, and adversely affect our ability to obtain marketing approval from the FDA or other applicable regulatory authorities. To the extent the results of investigator-initiated trials or named patient activities are inconsistent with, or different from, the results of our sponsored trials or raise concerns regarding our product candidates, the FDA or a foreign regulatory authority may question the well-controlled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the risk for serious adverse events in the patient population of such trials and named patient activities is high. Adverse events, if attributed to our product candidate, could have a negative impact on the safety profile of our product candidates, and in turn cause significant delays or an inability to obtain regulatory approval or successfully commercialize our drug candidates.</w:t>
      </w:r>
    </w:p>
    <w:p>
      <w:pPr>
        <w:spacing w:after="0" w:line="18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Furthermore, there is no guarantee that we will be able to continue to receive or publicize observational data through investigator-initiated trials or named patient activities using our product candidates. Our supply capabilities may limit the number of patients who are able to enroll in these trials or the number of named patients that can be treated, and we may in the future need to restructure or pause without advance notice such supply in order to enroll sufficient numbers of patients in our sponsored clinical trials, which could prompt adverse publicity or other disruptions. In addition, there is no clear regulatory framework under which we may supply our unapproved investigational product candidate in named patient settings, particularly for multiple named patients, outside of a clinical trial or a compassionate use program that is registered with applicable regulatory authorities. Our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single-patient healing attempts are not part of a clinical trial or a compassionate use program that is registered with German regulatory authorities. As a result, if such supply of, or publication or other use of the observational data from named patient activities, is found to contravene regulatory requirements, we could potentially be subjected to liability, fines or other consequences, which could be further exacerbated if such patients experience adverse safety events. Furthermore, if we supply our unapproved investigational product candidate to a named patient who would have qualified for enrollment in our company-sponsored clinical trials in Germany, we may be subject to additional penalties. We also rely on each investigator and physician to ensure their own compliance with clinical and regulatory requirements in using our product candidate for investigator-initiated trials and named patient activities, and could be subject to liability if they are out of compliance.</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All of our product candidates are either in preclinical or clinical development and their risk of failure is high. Some of the product candidates and technologies we are developing are novel and unproven, which makes it difficult to accurately predict the challenges we may face with respect to our product candidates as they proceed through development.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are seeking to target are often heavily immunosuppressed and may be more likely to experience serious adverse events with potential treatments and have higher morbidity rates generally than other patient populations. It is also impossible to predict whether our clinical trials will continue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Commencing any future clinical trials is subject to finalizing the trial design and submitting an application to the FDA or a similar foreign regulatory authority.</w:t>
      </w:r>
    </w:p>
    <w:p>
      <w:pPr>
        <w:spacing w:after="0" w:line="192"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Even after we make our submission, the FDA or other regulatory authorities could disagree that we have satisfied their requirements to commence our clinical trials or disagree with our study design, which may require us to complete additional trials or amend our protocols or impose stricter conditions on the commencement of clinical trials. In addition, the FDA or other regulatory authority may require information beyond what we plan to provide in or expect to be required for a marketing application, including additional chemistry, manufacturing and control information, or additional preclinical or clinical data to support approval. These requirements may delay or prevent approval and our commercialization plans, or we may decide to abandon the development program.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p>
    <w:p>
      <w:pPr>
        <w:spacing w:after="0" w:line="72" w:lineRule="exact"/>
        <w:rPr>
          <w:sz w:val="20"/>
          <w:szCs w:val="20"/>
          <w:color w:val="auto"/>
        </w:rPr>
      </w:pPr>
    </w:p>
    <w:p>
      <w:pPr>
        <w:ind w:left="1020" w:right="14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or comparable foreign regulatory agencies,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trial sites and CROs, the terms of which can be subject to extensive negotiation and may vary significantly;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 or we may have insufficient funds for a clinical trial or to pay the substantial user fees required by the FDA upon the submission of a Biologic License Application, or BLA, or new drug application, or NDA;</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quantity of data relating to our product candidates or other materials necessary to conduct our clinical trials may be inadequate to initiate or complete a given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tolerability or efficacy concerns about our product candidates;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put on clinical hold or terminated by us, the IRBs of the institutions in which such trials are being conducted, the FDA, EMA or other regulatory authorities, or if a clinical trial is recommended for suspension or termination by the Data Safety Monitoring Board, or DSMB, for such trial. A suspension or termination may be imposed due to a number of factors, including failure to conduct the clinical trial in accordance with regulatory requirements or our clinical protocols, failure by our CROs to perform in accordance with GCP requirements, or applicable regulatory guidelines in other countries, inspection of the clinical trial operations or trial site by the FDA, EMA or other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EMA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6" w:name="page57"/>
    <w:bookmarkEnd w:id="56"/>
    <w:p>
      <w:pPr>
        <w:spacing w:after="0" w:line="19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the need to obtain agreement from multiple parties and may increase our future costs and expenses.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clinical trials, our clinical development activities could be delayed or otherwise adversely affected, which could adversely affect our business, results of operations and financial condition.</w:t>
      </w:r>
    </w:p>
    <w:p>
      <w:pPr>
        <w:spacing w:after="0" w:line="51"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p>
    <w:p>
      <w:pPr>
        <w:spacing w:after="0" w:line="7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the administration of our product candidates or trial completion;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drugs approved for the indication the clinical trial is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being studied in relation to other available therapies;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outside of our control, such as the effects of global economic conditions and volatility in the credit and financial markets, inflationary pressures, the Russian invasion of Ukraine, the Israel-Hamas war, the conflict between Israel and Iran and other geopolitical conditions.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7" w:name="page58"/>
    <w:bookmarkEnd w:id="57"/>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spacing w:after="0" w:line="192"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2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our development efforts on certain selected product candidates in certain selected indications. As a result, we may forgo or delay pursuit of opportunities with other product candidates, or other indications for our existing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commercial collaborations for our product candidates, and, if we are not able to establish them on commercially reasonable terms, we may have to alter our development and commercialization plans.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 In December 2021, we entered into a License and Collaboration Agreement, or the Intellia Agreement, with Intellia Therapeutics, Inc., a clinical-stage biotechnology company focused on developing novel therapeutics leveraging CRISPR-based technologies, or Intellia, to research and develop an allogeneic cell therapy product, or the CRISPR Product Candidate. Collaborations are complex and time-consuming to negotiate and document.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made substantial investments into the rapid development of novel treatments for immunological indications, including large and specialty pharmaceutical and biotechnology companies, some of which already have approved therapies in our current indications.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therapies is highly competitive. Our product candidates, if approved, will face significant competition, including from well-established, currently marketed therapies and our failure to demonstrate a meaningful improvement to the existing standard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pharmaceutical and biotechnology companies, hospitals and clinics, academic research institutions and governmental agencies and public and private research institutions. Our competitors compete with us on the level of the technologies employed, or on the level of development of their products as compared to our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any future product candidates. We anticipate that we will continue to face increasing competition as new therapies and combinations thereof, and related data emerge.</w:t>
      </w:r>
    </w:p>
    <w:p>
      <w:pPr>
        <w:spacing w:after="0" w:line="19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current product candidates, initially under development for treatment of various immunological indications, if approved, would face competition from existing approved immunological treatments, some of which have achieved commercial success. For example, we are currently developing KYV-101 for the treatment of B-cell-driven autoimmune diseases. Many emerging and established life sciences companies have been focused on similar therapeutics, including CAR T-cell candidates for B-cell-driven autoimmune diseases. If approved, KYV-101 would compete with currently approved therapeutics, including Rituxan and Ocrevus, both from Roche Holding AG, and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generic immunosuppressive or biosimilar drugs, such as mycophenolate mofetil, glucocorticoids, azathioprine, cyclophosphamide, and IVIG, among others we anticipate will receive approvals in the near term. There are also a number of product candidates in clinical development by third parties that are intended to treat some B-cell-driven autoimmune diseases, such as obinutuzumab (targeting CD20 on B cells), which is also from Genentech/Roche Holding AG.</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compete successfully, we need to disrupt these currently marketed drugs, meaning that we will have to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Furthermore, even if our product candidates demonstrate meaningful improvements in these attributes, acceptance of our products may be inhibited by the reluctance of physicians to switch from existing therapies to our products, or if physicians choose to reserve our products for use in limited circumstances.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announce and expect, the commercialization of our programs may be delayed and our expenses may increase and, as a result, our stock price may decline.</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2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Use of our product candidates could be associated with side effects, adverse events or other properties or safety risks, which could cause us to suspend or discontinue clinical trials, abandon a product candidate, delay or preclude approval, prevent market acceptance, limit the commercial profile of an approved label or result in other significant negative consequences that could severely harm our business, results of operations and financial condition.</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products, we must demonstrate through lengthy, complex and expensive preclinical studies and clinical trials that our current product candidates, including our lead product candidates, and any future product candidate are both safe, pure and potent, or effective for use in such product candidate’s target indication. Clinical testing is expensive, can take many years to complete and its outcome is inherently uncertain. In addition, some of the product candidates and technologies we are developing are novel and unproven, which makes it impossible to predict whether our clinical trials will continue. The patient population that our product candidates are seeking to target also are often heavily immunosuppressed and may be more likely to experience serious adverse events with potential treatments and have higher morbidity rates generally than other patient populations. Failure can occur at any time during the clinical trial process.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generate desired safety and efficacy data despite having progressed through preclinical studies and initial clinical trials. A number of companies in the biopharmaceutical and biotechnology industries have suffered significant setbacks in advanced clinical trials due to lack of efficacy or unacceptable safety issues, notwithstanding promising results in earlier trials. Most product candidates that commence clinical trials are never approved and there can be no assurance that any of our clinical trials will ultimately be successful or support further clinical development of our current product candidates or any of our future product candidates or ultimately their approval. We do not expect to be able to use the results from any investigator initiated trials or named patient activities conducted with our product candidates in any regulatory submission for marketing approval.</w:t>
      </w:r>
    </w:p>
    <w:p>
      <w:pPr>
        <w:spacing w:after="0" w:line="19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In addition, negative results from investigator initiated trials as well as named patient activities involving our product candidates could cause similar issues. The drug-related side effects could affect patient recruitment or the ability of enrolled patients to complete the trial or result in potential product liability claims. Any of these occurrences may harm our business, results of operations and financial condition significantly.</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clinical trials, investigator initiated trials or named patient activities,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results of operations and financial condition significantly.</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Patients in our ongoing and planned clinical trials may in the future suffer significant adverse events or other side effects not observed in our preclinical studies or previous clinical trials. In addition, if our product candidates are used in combination with other therapies, our product candidates may exacerbate adverse events associated with the therapy. Patients treated with our product candidates may also be undergoing surgical, radiation 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significant adverse events or other side effects are observed in any of our current or future clinical trials, in any investigator initiated trials conducted with our product candidates, or in our named patient activities, we may have difficulty recruiting patients to the clinical trials, patients may drop out of our trials, or we may be required to abandon the trials or our development efforts of that product candidate altogether. 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results of operations and financial condition.</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Such delayed side effects might be observed during the long-term follow-up FDA has insisted upon for certain gene therapy products. For example, in 2024 the FDA initiated class safety labeling changes for BCMA- or CD19-directed genetically modified autologous CAR T cell immunotherapies after it concluded that changes to the boxed warning were warranted to highlight the serious risk of T cell malignancies. In addition to labeling changes, if we were to identify delayed side effects with any of our product candidates, the FDA could require us to adopt a Risk Evaluation and Mitigation Strategy, or REMS,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 that:</w:t>
      </w:r>
    </w:p>
    <w:p>
      <w:pPr>
        <w:spacing w:after="0" w:line="80"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from the marketplace,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formulation or analytical methods may result in additional costs or delay, which could adversely affect our business, results of operations and financial condition.</w:t>
      </w:r>
    </w:p>
    <w:p>
      <w:pPr>
        <w:spacing w:after="0" w:line="5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later-stage clinical trials towards approval and future commercialization, it is common that various aspects of the development program, such as manufacturing methods, formulation or analytical methods, are altered throughout the development process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costs, delay approval of our product candidates and/or jeopardize our ability to commence product sales and generate revenue. If we or our CMOs are not able to successfully manufacture our product candidates in sufficient quality and quantity, clinical development and timelines for our product candidates and subsequent approval could be adversely impacted.</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and privacy requirements for the conduct of clinical trials;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and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obtaining any local supply of drugs or agents used with our product candidates, which are required by certain local clinical trial sites before conducting any study;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health epidemics or pandemics, or natural or man-made disasters, including earthquakes, tsunamis, fires or other medical epidemics, or geo-political actions, including war and terrorism.</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collaboration with Intellia may materially adversely affect our ability to attain or maintain profitable operations.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298"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 for any products that we may develop is subject to the FDA or comparable foreign authority approval process, and we currently, and will need to continue to, contract with manufacturers who can meet our and all applicable FDA or comparable foreign authority requirements on an ongoing basis.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 for any products that we may develop is subject to the FDA or comparable foreign authority approval process, and any contractors with which we contract for manufacturing must meet all applicable FDA or comparable foreign authority requirements on an ongoing basis. If we or our CMOs are unable to reliably produce products to specifications acceptable to the FDA or comparable foreign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 and criminal prosecutions, delay approval of our product candidates, impair commercialization efforts, increase our cost of goods, and have an adverse effect on our business, financial condition, results of operations and growth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and results of operations. In addition, we could incur higher manufacturing costs if manufacturing processes or standards change, and we could need to replace, modify, design or build and install equipment, all of which would require additional capital expenditures. Specifically, because our product candidates may have a higher cost of goods than conventional therapies, the risk that coverage and reimbursement rates may be inadequate for us to achieve profitability may be greater.</w:t>
      </w:r>
    </w:p>
    <w:p>
      <w:pPr>
        <w:spacing w:after="0" w:line="19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third party CMOs to manufacture and supply cell therapy products for our research and development purposes and for our clinical trials. Under our Master Services Agreement with WuXi ATU Advanced Therapies Inc., dated March 2022, or the WuXi Agreement, WuXi provides us with cell manufacturing, release and testing services for our KYV-101 product candidate. Under our Development and Manufacturing Services Agreement, or the Elevate Agreement, with ElevateBio Base Camp, Inc., or Elevate, we engaged Elevate in November 2024 to provide us with cell manufacturing, release and testing services for our KYV-101 product candidate. Pursuant to our Licence and Supply Agreement with Oxford Biomedica (UK) Limited, or Oxford, dated September 2023, or the Oxford Agreement, we engaged Oxford to undertake lentiviral vector process development services, with the intention for Oxford to ultimately manufacture and supply to us lentiviral vectors for research and development purposes and for use in connection with our clinical trials. Although we believe we currently have sufficient clinical-grade vector in inventory to move forward with our anticipated clinical trials, there is no guarantee that sufficient clinical-grade vector will be available in the quantities we require in the future or on terms that are acceptable to us.</w:t>
      </w:r>
    </w:p>
    <w:p>
      <w:pPr>
        <w:spacing w:after="0" w:line="18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 candidates;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86" w:lineRule="exact"/>
        <w:rPr>
          <w:sz w:val="20"/>
          <w:szCs w:val="20"/>
          <w:color w:val="auto"/>
        </w:rPr>
      </w:pPr>
    </w:p>
    <w:p>
      <w:pPr>
        <w:ind w:left="1020" w:right="4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synchronize operations and standards to ensure that all aspects of manufacturing are consistent without deviations across facilities.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current Good Manufacturing Practice, or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Moreover, if we are unable to manufacture or contract for a sufficient supply of our product candidates on acceptable terms, or if we encounter delays or difficulties in the scale-up of our manufacturing processes or our relationships with WuXi or other manufacturers,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and results of operations. In addition, if any of our product candidates are approved for sale, our inability to manufacture or contract for a sufficient supply of such potential future products on acceptable terms would have a material adverse effect on our business, financial condition and results of operations.</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could adversely affect our business, results of operations and financial condition.</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For example, we have two patent license agreements, or the NIH Agreements, with the National Institutes of Health, or the NIH, pursuant to which we obtained exclusive, worldwide licenses to certain patents to use an anti-CD19 CAR in our autologous and allogeneic CAR T-cell products for the treatment of patients with autoimmune disease, which is the CAR we used to create our lead product candidate, KYV-101. Any termination of these licenses could result in the loss of significant rights and could harm our ability to commercialize our product candidates.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also may arise between us and our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future commercialization of our product candidates, and what activities satisfy those diligence obligations;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and rights to use inventions and know-how resulting from the joint or individual creation or use of intellectual property by our licensors and us and our partners.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of our current and future agreements with third parties may limit or delay our ability to consummate certain transactions, may impact the value of those transactions, or may limit our ability to pursue certain activities. For example, we may enter into license agreements that are not assignable or transferable, or that require the licensor’s express consent in order for an assignment or transfer to take place.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3"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We generally also are subject to all of the same risks with respect to protection of intellectual property that we license, as we are for intellectual property that we own, which are described in this “Risk Factors” section. If we or our licensors fail to adequately protect this intellectual property, our business, results of operations and financial condition could be adversely affected.</w:t>
      </w:r>
    </w:p>
    <w:p>
      <w:pPr>
        <w:spacing w:after="0" w:line="2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rely upon a combination of in-licensed patents, know-how and confidentiality agreements to protect the intellectual property related to our product candidates and technologies and to prevent third parties from copying and surpassing our achievements, thus eroding our competitive position in our market. For example, pursuant to the NIH Agreements, we obtained exclusive, worldwide licenses to certain patents to use an anti-CD19 CAR in our autologous and allogeneic CAR T-cell products for the treatment of patients with autoimmune disease, which is the CAR we used to create our lead product candidate, KYV-101.</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our existing patents and any future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spacing w:after="0" w:line="18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6" w:name="page67"/>
    <w:bookmarkEnd w:id="66"/>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also dependent on our licensors to take necessary action to comply with patent protection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or our collaborators’ or licensors’ pending patent applications directed to composition of matter of our product candidates will be considered patentable by the United States Patent and Trademark Office, or the USPTO, or by patent offices in foreign countries, or that the claims in any of our or our licensors’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19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or our licensors’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9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28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issued patents or patents that issue in the future will not be challenged and rendered invalid and/or unenforceable.</w:t>
      </w:r>
    </w:p>
    <w:p>
      <w:pPr>
        <w:spacing w:after="0" w:line="5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We have pending and issued U.S. and foreign patents and patent applications in our portfolio; however, we cannot predict:</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issued patent will provide protection against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will result in issued patents with claims that cover each of our product candidates or uses thereof in the United States or in other foreign countries.</w:t>
      </w:r>
    </w:p>
    <w:p>
      <w:pPr>
        <w:spacing w:after="0" w:line="16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pending and future patent applications may not result in patents being issued that protect our product candidates, in whole or in part, or which effectively prevent others from commercializing competitive products.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an interference proceeding in the United States can be initiated by the USPTO or a third party to determine who was the first to invent any of the subject matter covered by the patent claims of our applications. Therefore, we cannot be certain that we were the first to make the inventions claimed in our patents or pending patent applications, or that we were the first to file for patent protection of such inventions.</w:t>
      </w:r>
    </w:p>
    <w:p>
      <w:pPr>
        <w:spacing w:after="0" w:line="19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2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licenses with third parties, we could lose license rights that are important to our business, which could adversely affect our business, results of operations and financial condition.</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party to license agreements pursuant to which we in-license patent and patent applications, know-how, trade secrets and data rights for our product candidates. These include, for example, the NIH Agreements, pursuant to which we obtained exclusive, worldwide licenses to certain patents to use an anti-CD19 CAR in our autologous and allogeneic CAR T-cell products for the treatment of patients with autoimmune disease, and the Intellia Agreement, which provides for the research and development of the CRISPR Product Candidate. These existing licenses impose on us various diligence, milestone payment, royalty, insurance and other obligations. If we fail to comply with these obligations, our licensors may have the right to terminate the license, in which event we would not be able to develop or market the products covered by such licensed intellectual property.</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may also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such activities by these licensors may not have been or may not be conducted in compliance with applicable laws and regulations or will result in valid and enforceable patents and other intellectual property rights. Our licensors may not successfully prosecute the patent applications to which we are licensed in a manner consistent with the best interests of our business.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prevent other companies from licensing some of the same intellectual properties that we have licensed or from otherwise duplicating our business model and operations.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Since parties we have licenses with are developing therapies to similar technologies, they may make their methods and data available to third parties, who may want to enter into our line of business and compete against us. Although we currently exclusively license certain intellectual property for each of our product candidates, there can be no assurance we will not need to license other intellectual property on a non-exclusive basis in the future or that our exclusively licensed intellectual property could be used to prevent third parties from duplicating our business plan or from otherwise directly competing against us. Further, no assurance can be given that our existing exclusive rights are or will be sufficient to prevent others from competing with us and developing substantially similar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current and any future product candidates on acceptable terms.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 Our product candidates also may require specific formulations to work effectively and efficiently and these rights may be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6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and governmental authorities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results of operations and financial condition could be adversely affected.</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licensed from various third parties may be subject to retained rights.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 In particular, under the NIH Agreements the NIH reserves, on behalf of the United States federal government and certain third parties, an irrevocable, nonexclusive, worldwide, royalty-free license to practice all of the inventions licensed under such agreements, and the NIH also reserves the right to grant third parties research licenses on reasonable terms. Under the Intellia Agreement, Intellia is granted an irrevocable, nonexclusive, worldwide, royalty-free license to fully exploit certain Intellia-developed products that are not directed to CD19 or other B-cell antigens and which are not intended for treatment or prevention of autoimmune or inflammatory diseases or conditions and not for humoral rejection for solid organ transplantation.</w:t>
      </w:r>
    </w:p>
    <w:p>
      <w:pPr>
        <w:spacing w:after="0" w:line="19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addition,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may at times choose to collaborate with academic institutions to accelerate our preclinical research or development.</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Numerous U.S. and foreign patents and pending patent applications exist in our market that are owned by third parties. Our competitors in both the United States and abroad, some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spacing w:after="0" w:line="19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the patents and other intellectual property rights of third parties. We are aware of third-party U.S. and European patents related to CAR T cells for use in treating autoimmune diseases, which may be relevant to our product candidates. If these patent rights were enforced against us, we believe that we have defenses against any such action, including that these patents are not valid. There could be additional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and may sue us for patent or other intellectual property infringement. These lawsuits are costly and could adversely affect our business, financial condition and results of operations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p>
    <w:p>
      <w:pPr>
        <w:spacing w:after="0" w:line="194"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cannot provide any assurances that no valid third-party patents and other intellectual property rights can be enforced against our current technology, including our research programs, product candidates, their respective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methods of use, manufacture and formulations thereof. If we are sued for infringing intellectual property rights of third parties, such litigation could result in either an injunction prohibiting our manufacture or future sales, or, with respect to our future sales, an obligation on our part to pay royalties and/or other forms of compensation to third parties, which could be significant.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and results of operations. Any claims by third parties that we have misappropriated their confidential information or trade secrets could have a similar material and adverse effect on our business, financial condition and results of operations. In addition, any uncertainties resulting from the initiation and continuation of any litigation could have a material adverse effect on our ability to raise the funds necessary to continue our operations.</w:t>
      </w:r>
    </w:p>
    <w:p>
      <w:pPr>
        <w:spacing w:after="0" w:line="29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time-consuming and unsuccessful.</w:t>
      </w:r>
    </w:p>
    <w:p>
      <w:pPr>
        <w:spacing w:after="0" w:line="5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trademarks or other intellectual property. To counter infringement or unauthorized use, we or one of our licensing partners may be required to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spacing w:after="0" w:line="1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at the EPO or similar proceedings in other foreign patent offices, where either our owned or in-licensed foreign patents are challenged.</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or our licensors’ patents and other intellectual property or claims asserting that our employees, consultants or advisors have wrongfully used or disclosed alleged trade secrets of their current or former employers.</w:t>
      </w:r>
    </w:p>
    <w:p>
      <w:pPr>
        <w:spacing w:after="0" w:line="5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73" w:lineRule="exact"/>
        <w:rPr>
          <w:sz w:val="20"/>
          <w:szCs w:val="20"/>
          <w:color w:val="auto"/>
        </w:rPr>
      </w:pPr>
    </w:p>
    <w:p>
      <w:pPr>
        <w:jc w:val="both"/>
        <w:ind w:right="480" w:firstLine="509"/>
        <w:spacing w:after="0" w:line="257"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and we may in the future be subject to claims that former employees, consultants, or other third parties have an interest in our patents or other intellectual property as an inventor, co-inventor, or owner of trade secrets.</w:t>
      </w:r>
    </w:p>
    <w:p>
      <w:pPr>
        <w:spacing w:after="0" w:line="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Although it is our policy to require our employees and consultants who may be involved in the conception or development of intellectual property to execute agreements assigning that intellectual property to us, we may be unsuccessful in executing such an agreement with each party who conceives or develops intellectual property that we regard as our own or such party may breach the assignment agreement, or we may be subject to claims that these individuals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an adequate amount of time. If we do not obtain patent term extension for our product candidates, our business may be materially harmed.</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or the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30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will significantly impact European patents, including those granted before the introduction of the system. Under the unitary patent system, after a European patent is granted, the patent proprietor can request unitary effect, thereby getting a European patent with unitary Effect, or a Unitary Patent. Each Unitary Patent is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adequately protected, our business, financial condition, results of operations and prospects could be adversely affected.</w:t>
      </w:r>
    </w:p>
    <w:p>
      <w:pPr>
        <w:spacing w:after="0" w:line="3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merely descriptive, generic or determined to be infringing on other marks. The use of our registered and unregistered marks is also limited by certain agreements with third parties.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not survive such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w:t>
      </w:r>
    </w:p>
    <w:p>
      <w:pPr>
        <w:spacing w:after="0" w:line="19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9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adversely affect our business, results of operations and financial condition.</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Although we have environmental liability insurance for our California facility as required by the related lease agreement, we do not currently carry specific biological waste or hazardous waste insurance coverage, workers compensation or property and casualty and general liability insurance policies that include coverage for criminal damages and fines arising from biological or hazardous waste exposure or contamination.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currently conducting, and may in the future conduct clinical trials for our product candidates outside the United States, and the FDA and comparable foreign regulatory authorities may not accept data from such trials.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conducted, are currently conducting, and may in the future conduct one or more clinical trials of our current or future product candidates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spacing w:after="0" w:line="2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United States, we may never receive regulatory approval to market outside of the United States.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United States and are currently conducting certain clinical trials internationally, including in Europe.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29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Any of 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clinical trials, and an extensive regulatory approval process are required to be completed successfully in the United States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including the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until we receive regulatory approval of our product candidates through a new drug application, or NDA, or biologics license application, or BLA, from the FDA. The FDA and other regulatory authorities may delay, limit or deny approval of our product candidates for many reasons, including:</w:t>
      </w:r>
    </w:p>
    <w:p>
      <w:pPr>
        <w:spacing w:after="0" w:line="79" w:lineRule="exact"/>
        <w:rPr>
          <w:sz w:val="20"/>
          <w:szCs w:val="20"/>
          <w:color w:val="auto"/>
        </w:rPr>
      </w:pPr>
    </w:p>
    <w:p>
      <w:pPr>
        <w:ind w:left="1020" w:right="2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or other regulatory authorities that any of our product candidates are safe and effective for any indication;</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or clinical significance required by the FDA or other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disagree with the number, design, size, conduct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not find the data from preclinical studies and clinical trials sufficient to demonstrate that the benefits of any of our product candidates outweigh their safety risks;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disagree with our interpretation of data from preclinical studies or clinical trials, or may not accept data generated at our clinical trial sites;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any of our product candidates may not be sufficient to support the submission of an IND or other application for regulatory approval;</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and other regulatory authorities may require a risk management plan, or RMP, as a condition of approval for new products, among other additional requirements;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identify deficiencies in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change their approval policies or adopt new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simultaneous approval for both adults and for children and adolescents, which may delay approval, or we may have successful clinical trial results for adults but not children and adolescents, or vice versa.</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any of these regulatory authorities may change requirements for the approval of a product candidate even after reviewing and providing comments or advice on a protocol for a clinical trial. The FDA or other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other regulatory authorities for obtaining approval.</w:t>
      </w:r>
    </w:p>
    <w:p>
      <w:pPr>
        <w:spacing w:after="0" w:line="18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In addition, the FDA or other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or comparable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foreign risk management approaches. The FDA or other regulatory authorities may not accept the labeling claims that we believe would be necessary or desirable for the successful commercialization of our product candidates.</w:t>
      </w:r>
    </w:p>
    <w:p>
      <w:pPr>
        <w:spacing w:after="0" w:line="16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Further, the FDA and its foreign counterparts may respond to any BLA or NDA that we may submit by defining requirements that we do not anticipate. Such responses could delay clinical development of any of our product candidates or any future product candidates.</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November 28, 2023, the FDA issued a statement that it is investigating serious risk of T-cell malignancy following BCMA-directed or CD19-directed autologous chimeric antigen receptor (CAR) T cell immunotherapies, such as KYV-101.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In January 2024, the FDA notified the manufacturers of the six FDA-approved BCMA-directed and CD19-directed chimeric CAR genetically modified autologous T-cell therapies that their products’ safety information must be updated to include a boxed warning that T-cell malignancies have occurred following treatment with BCMA-directed and CD19-directed genetically modified autologous T-cell immunotherapies. In April 2024, the FDA issued a public safety statement announcing its initiation of the class labeling changes and noting that patients and clinical trial participants receiving treatment with these products should be monitored life-long for secondary malignancies. Because all currently approved CAR T-cell immunotherapies are in oncology indications, however, there can be no assurance that the FDA will reach the same risk-benefit analysis in other indications, such as autoimmune. Given that the autoimmune diseases we are seeking to treat are different indications from the approved oncology indications, the FDA and other regulatory authorities may apply a different benefit-risk assessment threshold such that even if our product candidate demonstrated a similar safety profile as current CAR T therapies, the FDA could ultimately determine that the harmful side effects outweigh the benefits and require us to cease clinical trials or deny approval of our product candidates.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warning on any of our product candidates that receive regulatory approval or impose additional post-approval requirements on any of our product candidates that receive regulatory approval.</w:t>
      </w:r>
    </w:p>
    <w:p>
      <w:pPr>
        <w:spacing w:after="0" w:line="19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product candidates, alone or with our partners, such product may become subject to unfavorable pricing regulations, third-party reimbursement practices or healthcare reform initiatives, which could harm our business.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spacing w:after="0" w:line="18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9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In addition, the IRA,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among other things, (i) directs the U.S. Department of Health and Human Services, or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took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2025, CMS announced its selection of 15 additional drugs covered by Part D for the second cycle of negotiations. While there had been some questions about the Trump Administration’s position on this program, CMS issued a public statement on January 29, 2025, declaring that lowering the cost of prescription drugs is a top priority of the new administration and CMS is committed to considering opportunities to bring greater transparency in the negotiation program.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unclear whether or how much such rights may be exercised.</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spacing w:after="0" w:line="18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29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laws that may affect our ability to operate include, but are not limited to:</w:t>
      </w:r>
    </w:p>
    <w:p>
      <w:pPr>
        <w:spacing w:after="0" w:line="86" w:lineRule="exact"/>
        <w:rPr>
          <w:sz w:val="20"/>
          <w:szCs w:val="20"/>
          <w:color w:val="auto"/>
        </w:rPr>
      </w:pPr>
    </w:p>
    <w:p>
      <w:pPr>
        <w:ind w:left="1020" w:right="8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spacing w:after="0" w:line="80" w:lineRule="exact"/>
        <w:rPr>
          <w:rFonts w:ascii="Times New Roman" w:cs="Times New Roman" w:eastAsia="Times New Roman" w:hAnsi="Times New Roman"/>
          <w:sz w:val="18"/>
          <w:szCs w:val="18"/>
          <w:color w:val="auto"/>
        </w:rPr>
      </w:pPr>
    </w:p>
    <w:p>
      <w:pPr>
        <w:ind w:left="1020" w:right="140" w:hanging="503"/>
        <w:spacing w:after="0" w:line="271"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the federal False Claims Act or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65" w:lineRule="exact"/>
        <w:rPr>
          <w:rFonts w:ascii="Times New Roman" w:cs="Times New Roman" w:eastAsia="Times New Roman" w:hAnsi="Times New Roman"/>
          <w:sz w:val="17"/>
          <w:szCs w:val="17"/>
          <w:color w:val="auto"/>
        </w:rPr>
      </w:pPr>
    </w:p>
    <w:p>
      <w:pPr>
        <w:ind w:left="1020" w:right="100" w:hanging="503"/>
        <w:spacing w:after="0" w:line="273"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spacing w:after="0" w:line="63" w:lineRule="exact"/>
        <w:rPr>
          <w:rFonts w:ascii="Times New Roman" w:cs="Times New Roman" w:eastAsia="Times New Roman" w:hAnsi="Times New Roman"/>
          <w:sz w:val="17"/>
          <w:szCs w:val="17"/>
          <w:color w:val="auto"/>
        </w:rPr>
      </w:pPr>
    </w:p>
    <w:p>
      <w:pPr>
        <w:ind w:left="1020" w:right="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certain non-physician practitioners (such as physician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86" w:lineRule="exact"/>
        <w:rPr>
          <w:sz w:val="20"/>
          <w:szCs w:val="20"/>
          <w:color w:val="auto"/>
        </w:rPr>
      </w:pPr>
    </w:p>
    <w:p>
      <w:pPr>
        <w:ind w:left="1020" w:right="660"/>
        <w:spacing w:after="0" w:line="282" w:lineRule="auto"/>
        <w:rPr>
          <w:sz w:val="20"/>
          <w:szCs w:val="20"/>
          <w:color w:val="auto"/>
        </w:rPr>
      </w:pPr>
      <w:r>
        <w:rPr>
          <w:rFonts w:ascii="Times New Roman" w:cs="Times New Roman" w:eastAsia="Times New Roman" w:hAnsi="Times New Roman"/>
          <w:sz w:val="18"/>
          <w:szCs w:val="18"/>
          <w:color w:val="auto"/>
        </w:rPr>
        <w:t>assistants and nurse practitioners), and teaching hospitals, as well as ownership and investment interests held by physicians and their immediate family members;</w:t>
      </w:r>
    </w:p>
    <w:p>
      <w:pPr>
        <w:spacing w:after="0" w:line="54" w:lineRule="exact"/>
        <w:rPr>
          <w:sz w:val="20"/>
          <w:szCs w:val="20"/>
          <w:color w:val="auto"/>
        </w:rPr>
      </w:pPr>
    </w:p>
    <w:p>
      <w:pPr>
        <w:ind w:left="1020" w:right="2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spacing w:after="0" w:line="18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state and foreign enforcement bodies have continued to increase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time-and resource-consuming and may divert our management’s attention from the operation of our business.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results of operations and financial condition.</w:t>
      </w:r>
    </w:p>
    <w:p>
      <w:pPr>
        <w:spacing w:after="0" w:line="2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seek an accelerated approval for one or more of our product candidates. Under the accelerated approval pathway,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under the Food and Drug Omnibus Reform Act of 2022, or FDORA, the FDA is permitted to require, as appropriate, that such studies be underway prior to approval or within a specified time period after the date accelerated approval is granted. The FDA has issued draft guidance that proposes criteria it will evaluate to determine if a trial is underway, including whether enrollment in the trial has been initiated. FDORA also requires sponsors to send updates to the FDA every 180 days on the status of such studies, including progress toward enrollment targets, and the FDA must promptly post this information publicly. In addition, FDORA gives the FDA increased authority to withdraw accelerated approval on an expedited basis if, for example, the sponsor fails to conduct such studies in a timely manner, such studies fail to confirm the drug’s clinical benefit or the sponsor fails to send the necessary updates to the FDA. The FDA is empowered to take action against companies that fail to conduct with due diligence any post-approval confirmatory study or submit timely reports to the agency on their progress. In addition, the FDA generally requires, unless otherwise informed by the agency, pre-approval of promotional materials for products receiving accelerated approval, which could adversely impact the timing of the commercial launch of the product.</w:t>
      </w:r>
    </w:p>
    <w:p>
      <w:pPr>
        <w:spacing w:after="0" w:line="19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seeking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candidates would result in a longer time period to commercialization of such product candidate, if any, could increase the cost of development of such product candidate and could harm our competitive position in the marketplace.</w:t>
      </w:r>
    </w:p>
    <w:p>
      <w:pPr>
        <w:spacing w:after="0" w:line="29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pursuing or maintaining Fast Track or other regulatory designations for our product candidates, and such designations may not actually lead to a faster development or regulatory approval process.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we received Fast Track designation for KYV-101 for the treatment of patients with refractory lupus nephritis in May 2023, for KYV-101 for the treatment of patients with myasthenia gravis, or MG, in December 2023 and for KYV-101 for the treatment of patients with multiple sclerosis in January 2024 and RMAT designation for KYV-101 for the treatment of SPS in July 2024 and for the treatment of MG in August 2024, these designations do not assure that we will experience a faster development process, regulatory review or regulatory approval process compared to conventional FDA procedures. In addition, the FDA may withdraw a Fast Track or other accelerated review designation if it believes that the designation is no longer supported by data from our clinical development program. Additionally, qualification for any expedited review procedure does not ensure that we will ultimately obtain regulatory approval for such product candidate. Access to an expedited program may expedite the development or approval process, but it does not change the standards for approval.</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Furthermore, although we may pursue additional opportunities to accelerate the development of certain of our product candidates through one or more of the FDA’s expedited program designations, we cannot be assured that any of our product candidates will qualify for such programs. The FDA may determine that our proposed target indication or other aspects of our clinical development plans do not qualify for such expedited program.</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orphan drug exclusivity for our product candidates.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Orphan drug designation neither shortens the development time or regulatory review time of a product candidate, nor gives the product candidate any advantage in the regulatory review or approval process. We received orphan drug designation from the FDA for KYV-101 for the treatment of MG in April 2024, for the treatment of SPS in August 2024, and for the treatment of SSc in September 2024, but we may not be granted orphan drug designations for our product candidates in other indications in the U.S. or in other jurisdictions.</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Even if we obtain orphan drug designation for a product candidate, we may not be able to obtain orphan drug exclusivity for that product candidate.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Finally, even if we obtain orphan drug exclusivity for a product, that exclusivity may not effectively protect the product from competition because the FDA has taken the position that, under certain circumstances, another drug with the same active moiety can be approved for the same condition. Specifically, the FDA’s regulations provide that it can approve another drug with the same active moiety for the same condition if the FDA concludes that the later drug is clinically superior in that it is shown to be safer, more effective or makes a major contribution to patient care.</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Regenerative Medicine Advanced Therapy, or RMAT, designation for KYV-101 for the treatment of stiff-person syndrome, or SPS, and for the treatment of myasthenia gravis, or MG. This designation may not lead to a faster development or regulatory review or approval process, and will not increase the likelihood that such product candidates will receive marketing approval.</w:t>
      </w:r>
    </w:p>
    <w:p>
      <w:pPr>
        <w:spacing w:after="0" w:line="6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received Regenerative Medicine Advanced Therapy designation for KYV-101 for the treatment of SPS in July 2024 and for the treatment of MG in August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company may request RMAT designation of its product candidate, which designation may be granted if the product meets the following criteria:</w:t>
      </w:r>
    </w:p>
    <w:p>
      <w:pPr>
        <w:spacing w:after="0" w:line="27" w:lineRule="exact"/>
        <w:rPr>
          <w:sz w:val="20"/>
          <w:szCs w:val="20"/>
          <w:color w:val="auto"/>
        </w:rPr>
      </w:pPr>
    </w:p>
    <w:p>
      <w:pPr>
        <w:ind w:right="180" w:firstLine="8"/>
        <w:spacing w:after="0" w:line="251" w:lineRule="auto"/>
        <w:tabs>
          <w:tab w:leader="none" w:pos="2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cell therapy, therapeutic tissue engineering product, human cell and tissue product, or any combination product using such therapies or products, with limited exceptions; (ii) it is intended to treat, modify, reverse, or cure a serious or life-threatening disease or condition; and (iii) preliminary clinical evidence indicates that the drug has the potential to address unmet medical needs for such a disease or condition. RMAT designation provides potential benefits that include more frequent meetings with FDA to discuss the development plan for the product candidate, and potential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post-approval, if appropriate. RMAT-designated products that receive accelerated approval may, as appropriate, fulfill their post-approval requirements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through the submission of clinical evidence, clinical studies, patient registries, or other sources of real world evidence (such as electronic health records); through the collection of larger confirmatory data sets; or via post-approval monitoring of all patients treated with such therapy prior to approval of the therapy.</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RMAT designation does not change the standards for product approval, and there is no assurance that any such designation or eligibility will result in expedited review or approval or that the approved indication will not be narrower than the indication covered by the RMAT designation. Additionally, RMAT designation can be revoked if the criteria for eligibility cease to be met as clinical data emerges.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 The ACA, among other things, subjected biologic products to potential competition by lower-cost biosimilars, addressed a new methodology by which rebates owed by manufacturers under the Medicaid Drug Rebate Program, or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former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how other such challenges, and any healthcare reform measures of the Trump administration, will impact the ACA and our business.</w:t>
      </w:r>
    </w:p>
    <w:p>
      <w:pPr>
        <w:spacing w:after="0" w:line="19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2031. Under current legislation, the actual reduction in Medicare payments will vary from 1% in 2022 to up to 4% in the final fiscal year of this sequester. In addition, in certain countries outside the United States, reimbursement for products that have not yet received marketing authorization may be provided through national managed access programs.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prevent us from being able to generate revenue, attain profitability or commercialize our product candidates, if approved.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regulatory environments could negatively impact our business.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December 2021, Regulation No. 2021/2282 on HTA, amending Directive 2011/24/EU, was adopted in the European Union. This Regulation, which entered into force in January 2022 and took effect as of January 2025, is intended to boost cooperation among EU Member States in assessing health technologies, including new medicinal products, and providing the basis for cooperation at European Union level for joint clinical assessments in these areas. The Regulation foresees a three-year transitional period and will permit EU Member States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European Union could be negatively affected.</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European Union may continue to propose and implement cost-containing measures to keep healthcare costs down.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European Union and other foreign countries use prices for medicinal products established in other countries as “reference prices” to help determine the price of the product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their own territory. Consequently, a downward trend in prices of medicinal products in some countries could contribute to similar downward trends elsewhere.</w:t>
      </w:r>
    </w:p>
    <w:p>
      <w:pPr>
        <w:spacing w:after="0" w:line="160"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 xml:space="preserve">The U.S. Supreme Court’s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83"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monitor and respond to the rapid and evolving developments and expectations relating to sustainability, including the environmental, social and governance matters, may impose unexpected costs or results in reputational or other harm that could have a material adverse effect on our business.</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regulators, listing exchanges and other stakeholders concerning corporate responsibility and sustainability matters, including with regard to environmental, social and governance factors. Some investors and investor groups may use these factors—either positively or negatively—to guide their investment strategies and, in some cases, investors may choose not to invest in our company if they believe our policies or practices relating to corporate responsibility and sustainability do not align with their expectations. Currently, a number of third-party providers of corporate responsibility and sustainability ratings measure the performance of companies on such topics, and the results of these assessments are widely publicized. Investors, particularly institutional investors, use these ratings to benchmark companies against their peers, and some major institutional investors have publicly emphasized the importance of these measures to their investment decisions. Topics taken into account in such assessments include, among others, companies’ efforts and impacts on climate change, human rights, business ethics and compliance, and the role of companies’ board of directors in overseeing various sustainability-related issues. In light of investors’ increased focus on these matters, if we are, for example, perceived as lagging in taking steps with respect to these initiatives, certain investors may seek to engage with us on improving our corporate responsibility and sustainability disclosures or performance. They may also make voting decisions or take other actions to hold us and our board of directors accountable.</w:t>
      </w:r>
    </w:p>
    <w:p>
      <w:pPr>
        <w:spacing w:after="0" w:line="19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there are rapidly evolving developments and changing expectations relating to sustainability matters. As a result, the criteria by which our corporate responsibility and sustainability practices are assessed may change, which could cause us to undertake costly initiatives or actions to satisfy new demands. If we elect not to or are unable to adequately recognize and respond to such developments and changing governmental, societal, investor and/or consumer expectations relating to sustainability matters, we may miss corporate opportunities, become subject to additional scrutiny or incur unexpected costs. We may face risk of litigation or reputational damage in the event that our sustainability policies or practices do not meet the standards set by various constituencies.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also face reputational damage in the event our corporate responsibility initiatives or objectives do not meet the standards set by our investors, stockholders, lawmakers, listing exchanges or other constituencies, or if we are unable to achieve an acceptable sustainability rating from third-party rating services. A low sustainability rating by a third-party rating service could also result in the exclusion of our common stock from consideration by certain investors who may elect to invest with our competitors instead. Ongoing focus on corporate responsibility and sustainability matters by investors and other stakeholders as described above may impose additional costs or expose us to new risks. Any failure or perceived failure by us in this regard could have a material adverse effect on our reputation and on our business, financial condition or results of operations, including the sustainability of our business over time, and could cause the market value of our common stock to decline.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2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authorities or government-affiliated hospitals, universities, and other organizations.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further expand our operations outside of the United States, we must dedicate additional resources to comply with numerous laws and regulations in each jurisdiction in which we plan to operate. The Foreign Corrupt Practices Act, or the FCPA, prohibits any U.S. individual or business from paying, offering, authorizing payment or offering of anything of value, directly or indirectly, to any foreign official, political party or candidate and other related parties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4"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8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including from government shutdowns, or funding changes,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to provide feedback on clinical trials and development programs, to meet with sponsors and to otherwise review regulatory submissions can be affected by a variety of factors, including government budget and funding levels, reductions in workforce, ability to hire and retain key personnel and accept the payment of user fees, and statutory, regulatory, and policy changes. In the past, average review times at the agency have fluctuated, and this may continue in the future. In addition, government funding of other agencies on which our operations may rely is subject to the political process, which is inherently fluid and unpredictable. In addition, government shutdowns, if prolonged, could significantly impact the ability of government agencies upon which rely (such as the FDA and SEC) to timely review and process our regulatory submissions, which could have a material adverse effect on our business.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slow the time necessary for new product candidates to be reviewed and/or approved by necessary government agencies, which would adversely affect our business. For example, over the past decade,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to fund our operations.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Finally,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 If we or our collaborators experience delays in obtaining approval or if we or they fail to obtain approval of our product candidates, the commercial prospects for our product candidates may be harmed and our ability to generate revenue will be materially impaired.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and Privacy</w:t>
      </w:r>
    </w:p>
    <w:p>
      <w:pPr>
        <w:spacing w:after="0" w:line="11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internal information technology systems, or those used by our CROs, CMOs,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to our business, and other adverse consequences.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CROs, CMOs,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In particular, ransomware attacks, including those from organized criminal threat actors, nation-states and nation-state-supported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ransomware attack, it may be preferable to make extortion payments, but we may be unwilling or unable to do so (including, for example, if applicable laws or regulations prohibit such payments).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Some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products, if approved.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Furthermore, future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security incident has occurred. Further, we may experience delays in developing and deploying remedial measures designed to address any such identified vulnerabilities.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without limitation, cloud-based infrastructure, encryption and authentication technology, employee email, and other functions. We also rely on third-party service providers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 including clinical trials.</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cause us to incur significant expenses.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If any such incidents were to occur and cause interruptions in our operations, it could result in a disruption of our business and development programs. For example, the loss of clinical trial data from completed or ongoing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3" w:name="page94"/>
    <w:bookmarkEnd w:id="93"/>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clinical trials for a product candidate could result in delays in our regulatory approval efforts and significantly increase our costs to recover or reproduce the data. To the extent that any disruption or security incident were to result in the loss of or damage to our data or applications, or inappropriate disclosure of personal, confidential or proprietary information, we could incur liability and the further development of any product candidates could be delayed. Applicable data privacy and security obligations may require us to notify relevant stakeholders of security incidents. Such disclosures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 and our ability to conduct clinical trials, which could delay the clinical development of our product candidates.</w:t>
      </w:r>
    </w:p>
    <w:p>
      <w:pPr>
        <w:spacing w:after="0" w:line="29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data privacy and security laws, regulations and other obligations could lead to government enforcement actions (which could include civil or criminal penalties), private litigation, negative publicity, and/or other adverse consequences that could negatively affect our operating results and business.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and our partners may be subject to federal, state, and foreign data protection laws and regulations (i.e., laws and regulations that address privacy and data security). 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the Health Insurance Portability and Accountability Act of 1996, or HIPAA. Depending on the facts and circumstances, we could be subject to penalties if we violate HIPAA.</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Additionally, in 2024, the FTC finalized updates to the Health Breach Notification Rule that, among other things, clarified its applicability to health apps and other similar technologies and expanded the information the breach notification requirements for entities subject to the rule which may add additional complexity to compliance obligations going forward.</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California enacted the California Consumer Privacy Act, or the CCPA, which creates new individual privacy rights for California consumers (as defined in the law), including the right to opt out of certain disclosures of their information, and places increased privacy and security obligations on entities handling certain personal data of consumers or households. The CCPA also creates a private right of action with statutory damages for certain data breaches, thereby potentially increasing risks associated with a data breach. As currently written, the CCPA may impact our business activities and exemplifies the vulnerability of our business to the evolving regulatory environment related to personal data and protected health information. Further, the California Privacy Rights Act, or the CPRA, amended the CCPA. The changes introduced by the CPRA impose additional data protection obligations on covered businesses, including additional consumer rights processes, limitations on data uses, new audit requirements for higher risk data, and opt-outs for certain uses of sensitive data. The amendments ushered in by the CPRA also create a new California data protection agency authorized to issue substantive regulations and could result in increased privacy and information security enforcement. Additional compliance investment and potential business process changes may be required.</w:t>
      </w:r>
    </w:p>
    <w:p>
      <w:pPr>
        <w:spacing w:after="0" w:line="1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Some observers have noted that the CCPA could mark the beginning of a trend toward more stringent privacy legislation in the United States, which could increase our potential liability and adversely affect our business. New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consumer privacy laws entered into force in Connecticut, Colorado, Montana, Oregon, Texas, Virginia and Utah in 2023 and 2024. Additionally, Delaware, Florida, Indiana, Iowa Kentucky, Maryland, Minnesota, Nebraska, New Hampshire, New Jersey, Rhode Island, Tennessee and others have adopted privacy laws, which took or will take effect from January 1, 2025 through 2026. Some state laws also minimize what data can be collected from consumers and how businesses may use and disclose it. These state privacy laws also require businesses to make disclosures to consumers about data collection, use and sharing practices. In addition, some of these laws (including the CPRA), along with other standalone health privacy laws, subject health related information to additional safeguards and disclosures and some specifically regulate consumer health data, such as the Washington My Health My Data Act, which became effective in 2024, Nevada’s Consumer Health Data Privacy Law, which became effective in 2024, and Connecticut’s amendments to its privacy law to address health data, which became effective in 2023. In addition, a number of other states have proposed new privacy laws, some of which are similar to the above-discussed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2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Foreign data protection laws, including the European Union’s General Data Protection Regulation, or the EU GDPR, and the UK equivalent of the same, or UK GDPR, together with the EU GDPR, the GDPR, may also apply to our processing of health-related and other personal data regardless of where the processing in question is carried out.</w:t>
      </w:r>
    </w:p>
    <w:p>
      <w:pPr>
        <w:spacing w:after="0" w:line="6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GDPR imposes stringent requirements for controllers and processors of personal data of individuals within the European Economic Area, or EEA, or the United Kingdom. The GDPR applies to any company established in the EEA or United Kingdom as well as to those outside the EEA or United Kingdom if they collect and use personal data in connection with the offering of goods or services to individuals in the EEA or United Kingdom or the monitoring of their behavior. The GDPR, together with national legislation, regulations and guidelines of the EEA Member States and the United Kingdom governing the processing of personal data, imposes strict obligations and restrictions on the ability to collect, analyze and transfer personal data, including health data from clinical trials and adverse event reporting and access to certain data such as the European Health Data Space Regulation.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a bill to amend the existing UK framework has been reintroduced (in a different form) by the new UK Government and was announced as a bill which has been introduced into Parliament at the King’s speech on July 17, 2024. At this time, there is no specific clarify on the provisions of the bill, or to the extent to which it will amend the UK framework, beyond general descriptions on its intended purpose. This bill, if passed, may lead to additional compliance costs and could increase our overall risk exposure as we may no longer be able to take a unified approach across the EEA and the United Kingdom, and we will need to amend our processes and procedures to align with the new framework.</w:t>
      </w:r>
    </w:p>
    <w:p>
      <w:pPr>
        <w:spacing w:after="0" w:line="19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have a material adverse effect on our business,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conduct our preclinical studies and clinical trials, as well as investigator initiated trials. If those third parties do not perform as contractually required, fail to satisfy legal or regulatory requirements, miss expected deadlines or terminate the relationship, our development programs could be delayed, or become more costly or unsuccessful, and we may never be able to seek or obtain regulatory approval for or commercialize our product candidates.</w:t>
      </w:r>
    </w:p>
    <w:p>
      <w:pPr>
        <w:spacing w:after="0" w:line="7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rely and intend to rely in the future on third-party clinical investigators, CROs, and clinical data management organizations to conduct, supervise and monitor preclinical studies and clinical trials of our current or future product candidates. In addition, third parties are conducting and we expect will continue to conduct investigator initiated trials with our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no experience as a company in filing and supporting the applications necessary to gain marketing approvals. 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9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18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8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9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do not own or operate facilities for drug manufacturing, storage, distribution or quality testing. We currently rely, and expect to continue to rely, on third-party contract developers and manufacturers to manufacture bulk drug substances, drug products, raw materials, samples, components, and other materials for our product candidates. For example, under the WuXi Agreement, WuXi provides us certain with certain customized cell manufacturing, release and testing services for our KYV-101 product candidate; under the Elevate Agreement we engaged Elevate in November 2024 to provide us with cell manufacturing, release and testing-services for our KYV-101 product candidate; and pursuant to the Oxford Agreement, we engaged Oxford to undertake lentiviral vector process development services, with the intention for Oxford to ultimately manufacture and supply to us lentiviral vectors for research and development purposes and for use in connection with our clinical trials.</w:t>
      </w:r>
    </w:p>
    <w:p>
      <w:pPr>
        <w:spacing w:after="0" w:line="18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Reliance on third-party manufacturers may expose us to different risks than if we were to manufacture product candidates ourselves. There can be no assurance that our preclinical and clinical development product supplies will not be limited, interrupted, terminated or will be of satisfactory quality or be available at acceptable prices. In addition, any replacement of our manufacturer could require significant effort and time because there may be a limited number of qualified replacements.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manufacturing process for our product candidates is subject to the FDA, EMA and foreign regulatory authority review. We, and our suppliers and manufacturers, must meet applicable manufacturing requirements and undergo rigorous facility and process validation tests required by regulatory authorities in order to comply with regulatory standards, such as cGMPs, and, in certain cases, current good tissue practice, or cGTP, requirements. Securing marketing approval also requires the submission of information about the product manufacturing process to, and inspection of manufacturing facilities by, the FDA, EMA and foreign regulatory authorities. If our CMOs cannot successfully manufacture material that conforms to our specifications and the strict regulatory requirements of the FDA, EMA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In the event that any of our manufacturers fails to comply with such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w:t>
      </w:r>
    </w:p>
    <w:p>
      <w:pPr>
        <w:spacing w:after="0" w:line="190"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These factors would increase our reliance on such manufacturer or require us to obtain a license from such manufacturer in order to enable us to manufacture, or to have another third party manufacture, our product candidates.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associated with the verification of a new manufacturer could negatively affect our ability to develop product candidates in a timely manner or within budget.</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8" w:name="page99"/>
    <w:bookmarkEnd w:id="98"/>
    <w:p>
      <w:pPr>
        <w:spacing w:after="0" w:line="1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manufacturing requirements, comply with cGMPs and cGTPs, or maintain a compliance status acceptable to the FDA, EMA or foreign regulatory authorities could adversely affect our business in a number of ways, including:</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preclinical studies or clinical trials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existing or future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actions against our manufacturers or us, including fines and civil, criminal and administrative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False Claims Act, corporate integrity agreements, consent decrees, or withdrawal of product approval.</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if approved, would be jeopardized. For example, the new Trump administration has substantially altered prior U.S. government international trade policy and has commenced activities to renegotiate, or potentially terminate, certain existing bilateral or multi-lateral trade agreements and treaties with foreign countries. In addition, the new Trump administration has initiated, and is considering imposing additional, tariffs on certain foreign goods. Related to this action, certain foreign governments, including China, have instituted or are considering imposing tariffs on certain U.S. goods. It remains unclear what the new Trump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and increase the cost of materials purchased to manufacture our product candidates.</w:t>
      </w:r>
    </w:p>
    <w:p>
      <w:pPr>
        <w:spacing w:after="0" w:line="292"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limited source suppliers for certain drug substances,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depend on limited source suppliers for certain drug substances, drug products, raw materials, samples, components, and other materials used in our product candidates. For example, WuXi and Elevate are currently our only providers of customized cell manufacturing, release and testing services for our KYV-101 product candidate. We do not currently have long-term supply contracts with all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Furthermore, any of the sole source and limited source suppliers upon whom we rely could stop producing our supplies, produce insufficient quantities of our supplies or otherwise fail to meet contractual requirements, experience financial difficulties, cease operations, face business disruptions or be acquired by, or enter into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19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exclusive arrangements with, our competitors. In addition, geopolitical tensions may impact our CMOs. In January 2024, the U.S. House of Representatives introduced the BIOSECURE ACT (H.R. 7085), which was subsequently amended on May 15, 2024 and passed by the U.S. House of Representatives on September 9, 2024, and the Senate advanced a substantially similar bill (S. 3558), both of which would prohibit U.S. federal executive agencies from contracting with any entity where the biotechnology equipment or services of a “biotechnology company of concern” would be used in the performance of that contract. Generally, a “biotechnology company of concern” is a biotechnology company that is subject to the jurisdiction, direction, control, or operates on behalf of a foreign adversary’s government and poses a risk to the national security of the U.S. WuXi AppTec was listed as a “biotechnology company of concern.” The final language, pathway and timing for the provisions of either of these bills to become law remain uncertain. Although the bill was passed in the House on September 9, 2024, the Senate did not pass the bill before the end of the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term. Nonetheless, if these bills are re-introduced in the House and Senate and become law, or similar laws are passed, they would have the potential to severely restrict our ability to purchase services or products from, or otherwise collaborate with, certain Chinese “biotechnology companies of concern” without losing the ability to contract with, or otherwise receive reimbursement from, the U.S. government. Passage of legislation similar to the BIOSECURE ACT could potentially lead the way for further legislation, sanctions, or restrictions that could potentially impact our relationship with WuXi and the WuXi Agreement due to those entities affiliations with WuXi, which could delay or impact clinical trials and consequently delay or obstruct regulatory approval of our product candidates.</w:t>
      </w:r>
    </w:p>
    <w:p>
      <w:pPr>
        <w:spacing w:after="0" w:line="20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some of which are located outside of the United States, are subject to additional risks that are beyond our control and that could harm our business, financial condition, results of operations and prospects.</w:t>
      </w:r>
    </w:p>
    <w:p>
      <w:pPr>
        <w:spacing w:after="0" w:line="5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Currently, some of our suppliers are located outside of the United States. As a result of our global suppliers, we are subject to risks associated with doing business abroad, including:</w:t>
      </w:r>
    </w:p>
    <w:p>
      <w:pPr>
        <w:spacing w:after="0" w:line="54" w:lineRule="exact"/>
        <w:rPr>
          <w:sz w:val="20"/>
          <w:szCs w:val="20"/>
          <w:color w:val="auto"/>
        </w:rPr>
      </w:pPr>
    </w:p>
    <w:p>
      <w:pPr>
        <w:ind w:left="1020" w:right="3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labor disputes, and economic instability resulting in the disruption of trade from foreign countries in which our products are manufactured;</w:t>
      </w:r>
    </w:p>
    <w:p>
      <w:pPr>
        <w:spacing w:after="0" w:line="53"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challenges and increased costs with enforcing and periodically auditing or reviewing our suppliers’ and manufacturers’ compliance with cGMPs or cGTPs or status acceptable to the FDA, EMA or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trademark protection, in some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due to global, regional, or local public health crises or other emergencies or natural disasters;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countries where our manufacturers or suppliers are located.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9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harm our business, financial condition, results of operations and prospects.</w:t>
      </w:r>
    </w:p>
    <w:p>
      <w:pPr>
        <w:spacing w:after="0" w:line="28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collaborations or strategic alliances or enter into additional licensing arrangements in the future, which may be important to our business. If we are unable to enter into new collaborations, or if these or any of our current collaborations are not successful and we fail to realize the benefits of such collaborations or licensing arrangements, our business, results of operations and financial condition could be adversely affected.</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we deem appropriate, enter into additional partnerships in the future, including potentially with major biotechnology or pharmaceutical companies. We have limited capabilities for product development and do not yet have any capability for commercialization. Accordingly, we may continue to enter into collaborations with other companies in the future to provide us with important technologies and funding for our programs and technology. Any future collaborations that we enter into may not be successful. The success of our collaboration arrangements will depend heavily on the efforts and activities of our collaborators.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collaborations and any future collaborations we enter into may pose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spacing w:after="0" w:line="7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w:t>
      </w:r>
    </w:p>
    <w:p>
      <w:pPr>
        <w:spacing w:after="0" w:line="53"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spacing w:after="0" w:line="31" w:lineRule="exact"/>
        <w:rPr>
          <w:rFonts w:ascii="Times New Roman" w:cs="Times New Roman" w:eastAsia="Times New Roman" w:hAnsi="Times New Roman"/>
          <w:sz w:val="17"/>
          <w:szCs w:val="17"/>
          <w:color w:val="auto"/>
        </w:rPr>
      </w:pPr>
    </w:p>
    <w:p>
      <w:pPr>
        <w:ind w:left="1020" w:right="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86" w:lineRule="exact"/>
        <w:rPr>
          <w:sz w:val="20"/>
          <w:szCs w:val="20"/>
          <w:color w:val="auto"/>
        </w:rPr>
      </w:pPr>
    </w:p>
    <w:p>
      <w:pPr>
        <w:ind w:left="1020" w:right="6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seek to amend or modify the terms of any collaboration;</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future commercialization of any product candidate licensed to it by us; and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future commercialization of the applicable product candidates.</w:t>
      </w:r>
    </w:p>
    <w:p>
      <w:pPr>
        <w:spacing w:after="0" w:line="162"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under such collaboration. All of the risks relating to product development, regulatory approval and future commercialization described in this “Risk Factors” section and elsewhere in this Annual Report on Form 10-K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partners for our product candidates, and the negotiation process is time-consuming and complex. In order for us to successfully partner with our product candidates, potential partners must view these product candidates as economically valuable in markets they determine to be attractive in light of the terms that we are seeking and other available products for licensing by other companies.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results of operations and financial condition could be adversely affected. Even if we are successful in our efforts to establish new strategic partnerships, the terms that we agree upon may not be favorable to us, and we may not be able to maintain such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common stock is likely to be volatile and could fluctuate widely in response to many factors, including but not limited to:</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financial and capital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product candidates, including the results of clinical trials by us or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that impact our competitive outlook;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developments with respect to our product candidates, or similar products or product candidates with which we compete;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 candidates, new products or new contracts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strategic transactions, including acquisitions, collaborations, licenses or similar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equities research analysts and whether our earnings (or losses) meet or exceed such estimates;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and receipt, or lack of receipt, of funding in support of conducting our business;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 or issuances by us of shares of our common stock in connection with strategic transactions;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United States that may impact the operation of our business, including changes in the structure of healthcare payment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natural disasters or major catastrophic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section titled “Risk Factors.”</w:t>
      </w:r>
    </w:p>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3" w:name="page104"/>
    <w:bookmarkEnd w:id="103"/>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When the market price of a stock has been volatile, as our stock price may be, holders of that stock have occasionally brought securities class action litigation claims against the company that issued the stock. If any of our stockholders were to bring a lawsuit of this type against us, even if the lawsuit were without merit, we could incur substantial costs defending the lawsuit. The lawsuit could also divert the time and attention of our management. See the risk factor under the heading “We or our directors or officers may be subject to securities litigation, which is expensive and could divert management attention” above for a discussion of a recently filed securities class action complaint in which we are currently named as a defendant.</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5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and annual fluctuations which may, in turn, cause the price of our common stock to fluctuate substantially. Our net loss and other operating results will be affected by numerous factors, including:</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preclinical studies and ongoing and future clinical trials, or the addition or termination of any such clinical trials;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payments we may make or receive under existing license and collaboration arrangements or the termination or modification thereof;</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strategic transactions, including acquisitions, collaborations, licenses or similar arrangements, and the timing and amount of payments we may make or receive in connection with such transactions;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departures of key personnel;</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and rising interest rates on our business and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and forecasts of market growth may not be accurate, and the actual market for our products may be smaller than we estimate, and even if the markets in which we compete achieve the forecasted growth, our business may not grow at similar rates, or at all.</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 or as to their applicability to our company.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dividends on our capital stock in the foreseeable future, capital appreciation, if any, will be your sole source of gain.</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would dilute our share capital.</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other equity securities or the availability of common stock for future sales will have on the trading price of our common stock.</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Pursuant to our 2024 Equity Incentive Plan, or our 2024 Plan, our management is authorized to grant stock options to our employees, directors and consultants. As of December 31, 2024, we had 2,491,968 shares of common stock available for future issuance under our 2024 Plan. Additionally, the number of shares of our common stock reserved for issuance under the 2024 Plan will automatically increase on January 1st of each year, beginning on January 1, 2025 and continuing through and including January 1, 2034, by 5% of the total number of shares of our capital stock outstanding on December 31 of the preceding calendar year, or a lesser number of shares determined by our board of directors. Additionally, pursuant to our 2024 Inducement Equity Incentive Plan, or our Inducement Plan, our management is authorized to grant equity-based awards in the form of stock options, stock appreciation rights, restricted stock, restricted stock units, performance units and performance shares solely to our prospective employees provided that certain criteria are met. As of December 31, 2024, we had 1,070,741 shares of common stock available for future issuance under our Inducement Plan. Unless our board of directors or a committee thereof elects not to increase the number of shares available for future grant each year under the 2024 Plan or Inducement Plan, our stockholders may experience additional dilution, which could cause our stock price to fall.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without stockholder approval.</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9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form joint ventures or make investments in other companies or technologies that could negatively affect our operating results, dilute our stockholders’ ownership, increase our debt or cause us to incur significant expense.</w:t>
      </w:r>
    </w:p>
    <w:p>
      <w:pPr>
        <w:spacing w:after="0" w:line="51" w:lineRule="exact"/>
        <w:rPr>
          <w:sz w:val="20"/>
          <w:szCs w:val="20"/>
          <w:color w:val="auto"/>
        </w:rPr>
      </w:pPr>
    </w:p>
    <w:p>
      <w:pPr>
        <w:jc w:val="both"/>
        <w:ind w:right="520" w:firstLine="509"/>
        <w:spacing w:after="0" w:line="282"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assets or licenses of assets, including preclinical, clinical or commercial stage products or product candidates, businesses, strategic alliances, joint ventures and collaborations, to expand our existing technologies and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potential acquisition or strategic partnership may entail numerous risks, including:</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contractual obligations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finance such a transaction, we may issue dilutive securities, assume or incur debt obligations, incur large one-time expenses and acquire intangible assets that could result in significant amortization expense. If the price of our common stock is low or volatile, we may not be able to acquire other companies or fund a joint venture project using our stock as consideration. Alternatively, it may be necessary for us to raise additional funds for these activities through public or private financings or through the issuance of debt. Additional funds may not be available on terms that are favorable to the Company, or at all, and any debt financing may involve covenants limiting or restricting our ability to take certain actions.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the shares of our common stock that are subject to outstanding options under our equity incentive plans are eligible for sale in the public market, to the extent permitted by the provisions of various vesting schedules, the lock-up agreements (and the exceptions thereto) and Rule 144 and Rule 701 under the Securities Act of 1933, as amended, or the Securities Act. If these additional shares of our common stock are sold, or if it is perceived that they will be sold, in the public market, the trading price of our common stock could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some members of our board of directors are representatives of our principal stockholders.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spacing w:after="0" w:line="28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control matters subject to stockholder approval.</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our executive officers, directors and holders of 5% or more of our capital stock beneficially owned approximately 52.1% of our outstanding common stock.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our election of reduced reporting requirements applicable to emerging growth companies and smaller reporting companies may make our common stock less attractive to investors.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or Section 404, reduced disclosure obligations regarding executive compensation in our Annual Reports on Form 10-K and our other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for up to five years following the completion of our initial public offering,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and reduced disclosure obligations regarding executive compensation in our Annual Reports on Form 10-K and our other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that may be beneficial to our stockholders, and may prevent attempts by our stockholders to replace or remove our current management.</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8" w:lineRule="exact"/>
        <w:rPr>
          <w:sz w:val="20"/>
          <w:szCs w:val="20"/>
          <w:color w:val="auto"/>
        </w:rPr>
      </w:pPr>
    </w:p>
    <w:p>
      <w:pPr>
        <w:ind w:left="1020" w:right="1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staggered board of directors divided into three classes serving staggered three-year terms, such that not all members of our board of directors will be elected at one time;</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fill vacancies on our board of directors;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our annual stockholder meetings;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amended and restated bylaws;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can remove directors only for cause and only upon the approval of not less than 66-2/3% of all outstanding shares of our capital stock;</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8" w:name="page109"/>
    <w:bookmarkEnd w:id="108"/>
    <w:p>
      <w:pPr>
        <w:spacing w:after="0" w:line="86" w:lineRule="exact"/>
        <w:rPr>
          <w:sz w:val="20"/>
          <w:szCs w:val="20"/>
          <w:color w:val="auto"/>
        </w:rPr>
      </w:pPr>
    </w:p>
    <w:p>
      <w:pPr>
        <w:ind w:left="1020" w:right="2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66-2/3% of all outstanding shares of our capital stock to amend our amended and restated bylaws and specific provisions of our amended and restated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jurisdictions in which certain stockholder litigation may be brought.</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Section 203 of General Corporation Law of the State of Delaware, or the DGCL, may discourage, delay or prevent a change in control of our company. Section 203 imposes certain restrictions on mergers, business combinations and other transactions between us and holders of 15% or more of our common stock.</w:t>
      </w:r>
    </w:p>
    <w:p>
      <w:pPr>
        <w:spacing w:after="0" w:line="2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another state court or the federal court located within the State of Delaware if the Court of Chancery does not have or declines to accept jurisdiction) shall be the sole and exclusive forum, in all cases subject to the court’s having jurisdiction over indispensable parties named as defendants, for: (i) any derivative action or proceeding brought on our behalf; (ii) any action asserting a breach of fiduciary duty owed to us or our stockholders by any director, officer or other employee; (iii) any action asserting a claim against us or any director, officer or other employee arising pursuant to the DGCL; (iv) any action to interpret, apply, enforce or determine the validity of our amended and restated certificate of incorporation or amended and restated bylaws; or (v) any other action asserting a claim that is governed by the internal affairs doctrine. In addition, our amended and restated certificate of incorporation provides that the federal district courts of the United States are the exclusive forum for resolving any complaint asserting a cause of action arising under the Securities Act but that the exclusive forum provision does not apply to claims brought to enforce a duty or liability created by the Exchange Act.</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thereunder.</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15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common stock.</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publish, or arrange for the publication of, negative opinions regarding the relevant issuer and its business prospects in order to create negative market momentum and generate profits for themselves after selling a stock short. These short attacks have, in the past, led to selling of shares in the market. While we would strongly defend against any such short seller attacks, we may be constrained in the manner in which we can proceed against the relevant short seller by applicable state law or issues of commercial confidentiality. Such a situation could be costly and time-consuming, and could be distracting for our management team. Additionally, such allegations against us could negatively impact our business operations and stockholders' equity, and the value of any investment in our stock could be reduced.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under the oversight of the Audit Committee of our board of directors, have implemented and maintain an enterprise risk management process, which includes periodic assessments of various risk categories, including cyber risks, across our Company. Our process for assessing, identifying, and managing risks from cybersecurity threats is informed by industry standards and supported by cybersecurity technologies, including third-party security solutions, monitoring, and alerting tools, designed to monitor, identify, and address cybersecurity risks.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leverage a managed security service provider and also engage with other third-party providers and consultants to support our cyber risk management efforts, including through periodic security testing. We have a process to assess and review the cybersecurity practices of information technology third-party vendors and service providers, including through review of applicable certifications, security reports, and vendor questionnaires and contractual requirements, as appropriate.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cyber risk management program and related operations and processes are directed by our Head of IT in consultation with the legal team and our third-party security advisor. Currently, our Head of IT role is held by an individual who has over 20 years of information technology experience. The Head of IT reports to our Chief Financial Officer.</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Head of IT meets with our Chief Financial Officer periodically to discuss and review our cybersecurity risk management processes and to address matters related to potential cybersecurity and information technology risks, with input from our third-party technology providers, as appropriate. In addition, our Head of IT has regular meetings with our managed security service provider to inform our cyber risk management processes and reporting to management. Our Head of IT, working with our Chief Financial Officer, provides periodic reports on cybersecurity and information technology matters to our Audit Committee, which assists our board of directors in reviewing and overseeing our risk management process, including cybersecurity risks.</w:t>
      </w:r>
    </w:p>
    <w:p>
      <w:pPr>
        <w:spacing w:after="0" w:line="18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Chief Financial Officer and our Audit Committee periodically report on cybersecurity risk management to the full board of directors. Our board of directors, as a whole and through its committees, has responsibility for the periodic review and oversight of information technology risks, including cybersecurity risks.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enterprise risk management program is overseen by a risk management committee comprised of senior management across key functional areas inclusive of cybersecurity and information technology matters. This committee, working with our Chief Financial Officer, provides periodic reports and updates, as needed, to our board of directors or our Audit Committee. In collecting information on enterprise risk, cybersecurity is included as a designated risk category, and the results of our enterprise risk assessment processes, including risks related to cybersecurity, are also discussed with the Audit Committee and among senior management on a periodic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Effects of Cybersecurity Incidents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Except as disclosed in Part I, Item 1A, “Risk Factors” of this Annual Report on Form 10-K, including, without limitation, the risk factor under the heading “</w:t>
      </w:r>
      <w:r>
        <w:rPr>
          <w:rFonts w:ascii="Times New Roman" w:cs="Times New Roman" w:eastAsia="Times New Roman" w:hAnsi="Times New Roman"/>
          <w:sz w:val="18"/>
          <w:szCs w:val="18"/>
          <w:i w:val="1"/>
          <w:iCs w:val="1"/>
          <w:color w:val="auto"/>
        </w:rPr>
        <w:t>If our internal information technology systems, or those used by our CROs, CMOs, clinical sites or other contractors or consultants upon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to our business, and other adverse consequences</w:t>
      </w:r>
      <w:r>
        <w:rPr>
          <w:rFonts w:ascii="Times New Roman" w:cs="Times New Roman" w:eastAsia="Times New Roman" w:hAnsi="Times New Roman"/>
          <w:sz w:val="18"/>
          <w:szCs w:val="18"/>
          <w:color w:val="auto"/>
        </w:rPr>
        <w:t>”, risks from cybersecurity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threats, including as a result of any previous cybersecurity incidents, have not materially affected and are not reasonably likely to materially affect our company, including our business strategy, results of operations, or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Emeryville, California, where we house our administrative, manufacturing and R&amp;D activities. We currently lease approximately 68,000 square feet of space as our primary headquarters in Emeryville, California. One of the leases expires in January 2027, with an option for us to extend the term until January 2030. Another lease of approximately 35,000 square feet expires in February 2027 and does not have an option to extend the lease term. We believe that our existing facility is adequate to meet our current needs, and that suitable additional alternative spaces will be available in the future on commercially reasonable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December 2024, a shareholder class action complaint, or the Complaint, was filed in the United States District Court for the Northern District of California against our Company, certain of our current and former officers and directors, and the underwriters of our initial public offering. The Complaint alleges that the registration statement on Form S-1 filed in connection with our initial public offering and the prospectus contained therein contained material misstatements or omissions in violation of federal securities laws. We believe we have good and substantial defenses to the claims in the Complaint, but there is no guarantee that we will be successful in these efforts. We are unable to determine whether any loss ultimately will occur or to estimate the range of such loss; therefore, no amount of loss has been accrued by us in our financial statements for the year ended December 31, 2024. Regardless of outcome, litigation can have an adverse impact on us due to defense and settlement costs, diversion of management resources, negative publicity, reputational harm and other factors.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“KYTX” since February 8, 2024. Prior to this date,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March 1, 2025, there were approximately 28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or the Exchange Act, and are not required to provide a performance graph.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cash dividends in the foreseeable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February 12, 2024, we closed the IPO, pursuant to which we issued and sold 16,675,000 shares of common stock, which included the exercise in full by the underwriters of their option to purchase 2,175,000 additional shares, at an initial public offering price of $22.00 per share.</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offer and sale of all of the shares of our common stock in the IPO were registered under the Securities Act pursuant to a registration statement on Form S-1 (File No. 333-276523), which was declared effective by the SEC on February 7, 2024. Following the sale of the above shares, the offering terminated. J.P. Morgan, Morgan Stanley, Leerink Partners and Wells Fargo Securities acted as joint book-running managers.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received aggregate gross proceeds from the IPO of $366.9 million, or aggregate net proceeds of $336.2 million, inclusive of the full exercise by the underwriters of their option to purchase additional shares, after deducting underwriting discounts and commissions and estimated other offering costs. None of the underwriting discounts and commissions or offering expenses were incurred or paid, directly or indirectly, to (i) our directors or officers or their associates, (ii) persons owning 10% or more of our common stock or (iii) any of our affiliates.</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planned use of the net proceeds from the IPO as described in our final prospectus filed pursuant to Rule 424(b)(4) under the Securities Act with the SEC on February 8,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and other financial information included in Part II, Item 8 of this Annual Report. Some of the information contained in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 Item 1A of this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cell therapies for patients with autoimmune diseases. Our goal is to liberate patients from autoimmune diseases through the curative potential of cell therapy. Our approach is supported by our breadth of experience treating patients with our lead product candidate, KYV-101, across more than 15 autoimmune disease indications. This has been documented through the scientific publication of multiple autoimmune case studies, our proprietary dataset of patients treated through named patient forms of compassionate use, our experience in ongoing investigator-initiated trials at leading academic institutions, as well as early clinical data from our ongoing company-sponsored trials illustrating the potential of these therapies to deeply deplete B cells with the aim of achieving durable treatment-free remission. This validation provides us with a clear path to continue advancing KYV-101 through late-stage clinical development and commercialization across two broad areas of autoimmune disease: neuroinflammation and rheumatology.</w:t>
      </w:r>
    </w:p>
    <w:p>
      <w:pPr>
        <w:spacing w:after="0" w:line="84"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Our lead program, KYV-101, is an autologous, fully human CD19 CAR T-cell product candidate incorporating highly potent CD28 co-stimulation. KYV-101 is made from an underlying chimeric antigen receptor, or CAR, licensed from the National Institutes of Health, or the NIH. </w:t>
      </w:r>
      <w:r>
        <w:rPr>
          <w:rFonts w:ascii="Times New Roman" w:cs="Times New Roman" w:eastAsia="Times New Roman" w:hAnsi="Times New Roman"/>
          <w:sz w:val="18"/>
          <w:szCs w:val="18"/>
          <w:color w:val="231F20"/>
        </w:rPr>
        <w:t>We believe that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uniquely designed CAR in KYV-101 has the potential to deliver a differentiated therapeutic profile in autoimmune disease. In addition to a fully human scFv domain, the CAR in KYV-101 was also designed with a human CD8α hinge and transmembrane domain, a human CD28 costimulatory domain, and a human CD3ζ activation domain. </w:t>
      </w:r>
      <w:r>
        <w:rPr>
          <w:rFonts w:ascii="Times New Roman" w:cs="Times New Roman" w:eastAsia="Times New Roman" w:hAnsi="Times New Roman"/>
          <w:sz w:val="18"/>
          <w:szCs w:val="18"/>
          <w:color w:val="000000"/>
        </w:rPr>
        <w:t>This same underlying CAR in KYV-101 has completed a 20-patient Phase 1 trial in oncology conducted by the NIH,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results from this Phase 1 trial published in </w:t>
      </w:r>
      <w:r>
        <w:rPr>
          <w:rFonts w:ascii="Times New Roman" w:cs="Times New Roman" w:eastAsia="Times New Roman" w:hAnsi="Times New Roman"/>
          <w:sz w:val="18"/>
          <w:szCs w:val="18"/>
          <w:i w:val="1"/>
          <w:iCs w:val="1"/>
          <w:color w:val="000000"/>
        </w:rPr>
        <w:t>Nature Medicine</w:t>
      </w:r>
      <w:r>
        <w:rPr>
          <w:rFonts w:ascii="Times New Roman" w:cs="Times New Roman" w:eastAsia="Times New Roman" w:hAnsi="Times New Roman"/>
          <w:sz w:val="18"/>
          <w:szCs w:val="18"/>
          <w:color w:val="000000"/>
        </w:rPr>
        <w:t xml:space="preserve"> reported </w:t>
      </w:r>
      <w:r>
        <w:rPr>
          <w:rFonts w:ascii="Times New Roman" w:cs="Times New Roman" w:eastAsia="Times New Roman" w:hAnsi="Times New Roman"/>
          <w:sz w:val="18"/>
          <w:szCs w:val="18"/>
          <w:color w:val="231F20"/>
        </w:rPr>
        <w:t>similar rates of durable antitumor responses</w:t>
      </w:r>
      <w:r>
        <w:rPr>
          <w:rFonts w:ascii="Times New Roman" w:cs="Times New Roman" w:eastAsia="Times New Roman" w:hAnsi="Times New Roman"/>
          <w:sz w:val="18"/>
          <w:szCs w:val="18"/>
          <w:color w:val="000000"/>
        </w:rPr>
        <w:t xml:space="preserve"> while delivering improved tolerability in the clinic among adult oncology patients, as compared to the CAR used to create Yescarta®</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We believe that these differentiated properties of the CAR in KYV-101 are critical for the potential success of CAR T cells as autoimmune disease therapies.</w:t>
      </w:r>
    </w:p>
    <w:p>
      <w:pPr>
        <w:spacing w:after="0" w:line="84"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Our focused clinical development pipeline includes a pivotal Phase 2 trial of KYV-101 in stiff person syndrome, or SPS, a Phase 2 trial of KYV-101 in myasthenia gravis, or MG, and two multi-center Phase 1/2 trials for patients with lupus nephritis, or LN. We are also harnessing investigator-initiated trials and other Kyverna-sponsored clinical trials, or KYSA trials, including in multiple sclerosis and systemic sclerosis, to inform the next priority indications to advance into late-stage development. Additionally, our pipeline includes next-generation CAR T-cell therapies in both autologous and allogeneic formats, including efficiently expanding into broader autoimmune indications and increasing patient reach with KYV-102 using our proprietary whole blood rapid manufacturing process. We believe our cell therapy approach to autoimmune disease may present a significant advantage over current standard-of-care therapies by aiming for deep B cell depletion, an immune reset and long-term remission in autoimmune diseases.</w:t>
      </w:r>
    </w:p>
    <w:p>
      <w:pPr>
        <w:spacing w:after="0" w:line="81"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KYV-101 is currently being evaluated in company-sponsored KYSA trials and investigator-initiated trials in numerous B-cell mediated autoimmune diseases with a prioritized focus in SPS, MG and LN. We have aligned with the FDA on a registrational Phase 2 trial design in SPS, KYSA-8. This KYSA-8 pivotal Phase 2 trial in SPS has enrolled 70% of study participants, with completion of enrollment expected in mid-2025. We also continue to progress our chemistry, manufacturing and controls, or CMC, readiness efforts in a capital-efficient manner in support of an anticipated biologics license application, or BLA, filing with the FDA in 2026. We expect to report topline data from our pivotal Phase 2 trial in SPS in the first half of 2026 and anticipate filing our first BLA with the FDA in 2026.</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3" w:name="page114"/>
    <w:bookmarkEnd w:id="113"/>
    <w:p>
      <w:pPr>
        <w:spacing w:after="0" w:line="86"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Phase 2 trial in MG, KYSA-6, has completed enrollment of patients in an initial six-patient cohort and we plan to report interim data from this cohort in the second half of 2025. We received Regenerative Medicine Advanced Therapy, or RMAT, designations and Orphan Drug Designations from the FDA for both SPS and MG as well as Orphan Drug Designation from the European Medicines Association in MG. We continue to engage in positive dialogue with the FDA and expect to provide an update on the registrational path for KYV-101 in MG in the first half of 2025.</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also currently advancing two Phase 1/2 trials in LN, KYSA-1 and KYSA-3. We have completed the dose-escalation cohort of KYSA-1 and are now treating patients at the target dose. We expect to report Phase 1 data from both of these trials in the second half of 2025. In November 2024, we presented clinical data at ACR Convergence 2024 that demonstrated positive sustained efficacy and durability at &gt;6-month follow-up observed in patients with severe LN treated with KYV-101 at the therapeutic dose.</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June 2018, we have devoted substantially all of our resources to performing research and development, enabling manufacturing activities in support of our product development efforts, hiring personnel, acquiring and developing our technology and product candidates, performing business planning, developing and establishing our intellectual property portfolio, raising capital and providing general and administrative support for these activities. We do not have any products approved for sale and have not generated any revenue from product sales.</w:t>
      </w:r>
    </w:p>
    <w:p>
      <w:pPr>
        <w:spacing w:after="0" w:line="18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We have funded our operations primarily from sales of our redeemable convertible preferred stock, issuances of convertible notes and revenue from our collaboration agreement with Gilead Sciences, Inc., or Gilead, which terminated effective as of January 22, 2024, and from the sale of shares of our common stock in our initial public offering in February 2024, or the IPO. Our net losses were $127.5 million and $60.4 million for the years ended December 31, 2024 and 2023, respectively. As of December 31, 2024, we had an accumulated deficit of $263.5 million. Management has determined that our cash and cash equivalents and available-for-sale marketable securities of $286.0 million as of December 31, 2024 will be sufficient to fund our planned operations for at least one year from the issuance date of the financial statements included in Part II, Item 8 of this Annual Report on Form 10-K. We plan to monitor expenses and raise additional capital through equity or debt financings, strategic alliances and licensing arrangements.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financial condition and results of operations.</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and planned activities, as we:</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development of our product candidates, including KYV-101 in multiple clinical trials in parallel;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additional indications for our existing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manufacturing of clinical supply and manufacturing operations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discover, validate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 for any product candidates that successfully complete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6" w:lineRule="exact"/>
        <w:rPr>
          <w:sz w:val="20"/>
          <w:szCs w:val="20"/>
          <w:color w:val="auto"/>
        </w:rPr>
      </w:pPr>
    </w:p>
    <w:p>
      <w:pPr>
        <w:ind w:left="1020" w:right="4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 for which we may obtain marketing approval and related commercial manufacturing build-out;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portfolio of intellectual property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do not currently own or operate any manufacturing facilities. We rely on contract manufacturing organizations, or CMOs, to produce our drug candidates in accordance with the U.S. Food and Drug Administration’s, or the FDA’s, current Good Manufacturing Practices regulations for use in our clinical studies. In March 2022, we entered into a master services agreement with WuXi ATU Advanced Therapies, Inc., or WuXi. WuXi’s facility in Philadelphia, Pennsylvania, provides us with certain customized cell manufacturing, release and testing services for our KYV-101 product candidate. Under our Development and Manufacturing Services Agreement, dated July 2023, or the Elevate Agreement, with ElevateBio Base Camp, Inc., or Elevate, we engaged Elevate in </w:t>
      </w:r>
      <w:r>
        <w:rPr>
          <w:rFonts w:ascii="Times New Roman" w:cs="Times New Roman" w:eastAsia="Times New Roman" w:hAnsi="Times New Roman"/>
          <w:sz w:val="18"/>
          <w:szCs w:val="18"/>
          <w:color w:val="231F20"/>
        </w:rPr>
        <w:t>November 2024 to provide us with cell manufacturing, release and testing services for our KYV-101 product candidate.</w:t>
      </w:r>
      <w:r>
        <w:rPr>
          <w:rFonts w:ascii="Times New Roman" w:cs="Times New Roman" w:eastAsia="Times New Roman" w:hAnsi="Times New Roman"/>
          <w:sz w:val="18"/>
          <w:szCs w:val="18"/>
          <w:color w:val="auto"/>
        </w:rPr>
        <w:t xml:space="preserve"> Pursuant to our Licence and Supply Agreement with Oxford Biomedica (UK) Limited, or Oxford, dated September 2023, we engaged Oxford to undertake lentiviral vector process development services, with the intention for Oxford to ultimately manufacture and supply to us lentiviral vectors for research and development purposes and for use in connection with our clinical trials.</w:t>
      </w:r>
    </w:p>
    <w:p>
      <w:pPr>
        <w:spacing w:after="0" w:line="18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are also developing Ingenui-T, a manufacturing process designed to improve patient experience and manufacturing capabilities through partnerships with world-class organizations in cell therapy manufacturing. Under the Elevate Agreement, Elevate is undertaking process development services for the development of a rapid whole blood manufacturing process for our CAR T-cell products, including KYV-102.</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if at all.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February 8, 2024, our common stock began trading on the Nasdaq Global Select Market under the symbol “KYTX”. On February 12, 2024, we closed the IPO and issued 16,675,000 shares of our common stock at a price to the public of $22.00 per share, including the exercise in full by the underwriters of their option to purchase 2,175,000 additional shares of our common stock. We received gross proceeds of $366.9 million. Net proceeds were $336.2 million, after deducting underwriting discounts and commissions and other offering costs. Immediately prior to the IPO closing, all of the outstanding shares of our redeemable convertible preferred stock converted into shares of our common stock on a 1-for-4.5511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Agreements with the National Institutes of Health</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May 2021, we entered into two patent license agreements, or the NIH Agreements, with the National Institutes of Health, or the NIH, pursuant to which we obtained exclusive, worldwide licenses to certain patents to use a novel, fully human anti-CD19 CAR in our autologous and allogeneic CAR T-cell products for the treatment of patients with autoimmune disease. We paid 50% of the upfront consideration of $3.3 million for acquired licenses in July 2021 and the remaining 50% in May 2022 in accordance with the terms of the NIH Agreements.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Commencing in January 2023 and subsequently on January 1 of each calendar year thereafter until the NIH Agreements terminate, we are required to make minimum annual royalty payments of $0.2 million, which, commencing January 1, 2024, may be credited against any earned royalties due based on a low single-digit percentage of net sales made in a respective year. In addition, benchmark royalties following the completion of certain regulatory-and clinical-related benchmarks are due to the NIH, with the minimum cumulative royalty due for the first product reaching FDA approval or foreign-equivalent approval totaling approximately $5.7 million for the autologous patent license agreement and approximately $1.7 million for the allogeneic patent license agreement. Additional benchmark royalties would be payable for a subsequent indication under each NIH Agreement. If we enter into a sublicensing agreement, we are required to pay the NIH a sublicense royalty as a percentage of the fair market value of any consideration received for each sublicense granted. The sublicensing percentage starts at a high teens to low twenties percentage if clinical trials for the product candidate have not yet begun and decreases to a mid-single-digit percentage if the product candidate receives FDA approval or foreign-equivalent approval.</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terminated sooner, the NIH Agreements remain in effect until the last licensed patent rights granted pursuant to the respective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w:t>
      </w:r>
    </w:p>
    <w:p>
      <w:pPr>
        <w:spacing w:after="0" w:line="9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accounted for the acquisition of the licenses, including patent rights and know-how, as an asset acquisition. As the acquired technology did not have an alternative use for accounting purposes, we recorded the consideration of $3.3 million as a research and development expense in the statements of operations and comprehensive loss for the year ended December 31, 2021. As of December 31, 2024, we recognized $0.6 million related to benchmark royalties for regulatory approvals and patients’ dosing in clinical trials as research and development expenses in the statement of operations and comprehensive loss. As of December 31, 2024, $0.6 million were recorded as accounts payable in the balance sheet. No other benchmark royalties were probable or payable as of December 31, 2024 and 2023. We recognized $0.2 million as research and development expense related to minimum annual royalty payments in each of the years ended December 31,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 License and Collaboration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2021, we entered into a License and Collaboration Agreement, or the Intellia Agreement, with Intellia Therapeutics, Inc., or Intellia, to research and develop an allogeneic CD19-directed CAR cell therapy product, or the CRISPR Product, suitable for validation through pre-clinical and clinical proof-of-concept clinical trials, including the performance of activities as agreed in the collaboration plan. Pursuant to the Intellia Agreement, Intellia granted us an exclusive, worldwide, sublicensable in multiple tiers, royalty bearing license under certain of Intellia’s intellectual property to research, develop, sell and otherwise exploit the CRISPR Product. We are performing the majority of the work under the collaboration plan.</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a consideration for the licenses granted to us pursuant to the Intellia Agreement, we issued to Intellia 3,739,515 shares of our Series B Preferred Stock at a price of $1.8719 per share, which was the price paid by other investors in our Series B Preferred Stock financing, for consideration of $7.0 million. Intellia also purchased 1,602,649 shares of Series B Preferred Stock at a price of $1.8719 per share under the Series B Preferred Stock Purchase Agreement in cash for total proceeds to us of $3.0 million. We are also obligated to make aggregate milestone payments to Intellia of up to $64.5 million upon the achievement of specified development and regulatory milestones and are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Under the Intellia Agreement, Intellia owns rights, title and interests in and to any intellectual property developed in the course of performance under the Intellia Agreement that is not specifically directed to the CRISPR Product. We granted to Intellia certain non-exclusive, royalty-free, fully paid-up, worldwide licenses under our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 In addition, we granted Intellia an exclusive option, or the Intellia Option, to enter into a co-development and co-commercialization agreement with us for the CRISPR Product, or the Co-Co Agreement, for a fee payable to us. If Intellia exercises the Intellia Option, we and Intellia would share equally the regulatory and clinical development expenses associated with obtaining approval of the CRISPR Product in the United States and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would also share equally all net profits and losses from commercialization of the CRISPR Product in the United States. If Intellia exercises the Intellia Option, no milestone payments will be due and payable from that time forward and we will only pay royalties on sales outside of the United States.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upon exercise of the Intellia Option, following regulatory approval of the CRISPR Product, Intellia will have exclusive commercialization rights for the CRISPR Product for U.S. administration, subject to our rights to co-promote the CRISPR Product in the United States, and we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we participate in legal action or proceeding challenging the validity or enforceability of Intellia’s patents, or by the execution of the Co-Co Agreement. We may terminate the Intellia Agreement in its entirety, or on a country-by-country basis, by providing a written notice after the expiration or termination of the Intellia Option. Following the expiration of the term for a given country, the licenses granted to us in such country will automatically become fully paid-up, perpetual, irrevocable and royalty-free licenses.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milestone payments were probable or payable as of each of December 31,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and 2023, Intellia owned less than 5% of our outstanding equity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Trends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may be affected by worldwide economic conditions and challenges, such as the effects of the ongoing geopolitical conflicts in Ukraine, the Israel-Hamas war, the conflict between Israel and Iran, tensions in United States-China relations, disruptions in the banking industry and inflationary trends, and the imposition, or threatened imposition, of tariffs and potential retaliatory trade restrictions. The fiscal years 2024 and 2023 were marked by significant market uncertainty and increasing inflationary pressures. These market dynamics continue into 2025, and these and similar adverse market conditions may negatively impact our business, financial position and results of operations. For further discussion of the potential impacts of macroeconomic events on us, refer to the section titled “Risk Factors” in Part I, Item 1A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largest component of our total operating expenses since inception has been research and development activities, including the preclinical and clinical development of our product candidates. Research and development expenses consist primarily of compensation and benefits for research and development employees, including: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stock-based compensation; expenses incurred under agreements with clinical research organizations, or CROs, and investigative sites that conduct preclinical and clinical studies; costs of acquiring and manufacturing clinical study materials and other supplies; payments under licensing and research and development agreements; other outside services and consulting costs; and facilities, information technology and overhead expenses. Research and development costs are expensed as incurred.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External research and development costs include:</w:t>
      </w:r>
    </w:p>
    <w:p>
      <w:pPr>
        <w:spacing w:after="0" w:line="117" w:lineRule="exact"/>
        <w:rPr>
          <w:sz w:val="20"/>
          <w:szCs w:val="20"/>
          <w:color w:val="auto"/>
        </w:rPr>
      </w:pPr>
    </w:p>
    <w:p>
      <w:pPr>
        <w:ind w:left="900" w:right="44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milestone payments and annual license maintenance fees under our licensing agreements;</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third-party CROs, CMOs and other third parties that conduct preclinical and clinical activities on our behalf and manufacture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associated with our research and development activities;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associated with our research and development programs, including laboratory materials and supplies.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17" w:lineRule="exact"/>
        <w:rPr>
          <w:sz w:val="20"/>
          <w:szCs w:val="20"/>
          <w:color w:val="auto"/>
        </w:rPr>
      </w:pPr>
    </w:p>
    <w:p>
      <w:pPr>
        <w:ind w:left="900" w:right="3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benefits, travel and meals expenses, and stock-based compensation expense for our research and development personnel; and</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costs, including software and other miscellaneous expenses incurred in connection with our research and development programs.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320" w:firstLine="509"/>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personnel-related expenses, including: salaries, employee benefit costs and stock-based compensation expense; professional fees for legal, consulting, accounting and tax services; allocated overheads, including rent, equipment, information technology costs and utilities; and other general operating expenses not otherwise classified as research and development expenses.</w:t>
      </w:r>
    </w:p>
    <w:p>
      <w:pPr>
        <w:spacing w:after="0" w:line="15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have increased, and are expected to continue to increase following our IPO, as a result of increased personnel costs, including salaries, benefits and stock-based compensation expense, patent costs for our product candidates, expanded infrastructure and higher consulting, legal and accounting services associated with maintaining compliance with stock exchange listing and requirements of the Securities and Exchange Commission, or the SEC, investor relations costs and director and officer insurance premiums.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and accretion of premiums and discounts on our investments in available-for-sale marketable securities and cash equivalents.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related to our laboratory equipment finance leases.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primarily consists of settlement and revaluation of transactions and accounts payable in foreign currency.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0" w:lineRule="exact"/>
        <w:rPr>
          <w:sz w:val="20"/>
          <w:szCs w:val="20"/>
          <w:color w:val="auto"/>
        </w:rPr>
      </w:pP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except percentages)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112,473</w:t>
            </w:r>
          </w:p>
        </w:tc>
        <w:tc>
          <w:tcPr>
            <w:tcW w:w="2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00" w:type="dxa"/>
            <w:vAlign w:val="bottom"/>
            <w:shd w:val="clear" w:color="auto" w:fill="CCEE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0"/>
        </w:trPr>
        <w:tc>
          <w:tcPr>
            <w:tcW w:w="5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0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(142,604</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(80,198</w:t>
            </w:r>
          </w:p>
        </w:tc>
        <w:tc>
          <w:tcPr>
            <w:tcW w:w="1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573 %</w:t>
            </w: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(142 )</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(90 )</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(35 )</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642 %</w:t>
            </w:r>
          </w:p>
        </w:tc>
      </w:tr>
      <w:tr>
        <w:trPr>
          <w:trHeight w:val="20"/>
        </w:trPr>
        <w:tc>
          <w:tcPr>
            <w:tcW w:w="5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(127,477 )</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(60,366 )</w:t>
            </w: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(67,111 )</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-1019175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-1019175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-1019175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-1019175</wp:posOffset>
            </wp:positionV>
            <wp:extent cx="1543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-170815</wp:posOffset>
            </wp:positionV>
            <wp:extent cx="154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except percentages)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costs: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198"/>
        </w:trPr>
        <w:tc>
          <w:tcPr>
            <w:tcW w:w="5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License fees, milestone payments and annual</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5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maintenance fees related to acquired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5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technologies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268 %</w:t>
            </w:r>
          </w:p>
        </w:tc>
      </w:tr>
      <w:tr>
        <w:trPr>
          <w:trHeight w:val="198"/>
        </w:trPr>
        <w:tc>
          <w:tcPr>
            <w:tcW w:w="512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CRO, CMO, professional consulting and other</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16"/>
        </w:trPr>
        <w:tc>
          <w:tcPr>
            <w:tcW w:w="51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third-party preclinical studies and clinical</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4"/>
        </w:trPr>
        <w:tc>
          <w:tcPr>
            <w:tcW w:w="51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trials costs</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67,678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21,468</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46,210</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215 %</w:t>
            </w:r>
          </w:p>
        </w:tc>
      </w:tr>
      <w:tr>
        <w:trPr>
          <w:trHeight w:val="198"/>
        </w:trPr>
        <w:tc>
          <w:tcPr>
            <w:tcW w:w="5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research and development costs,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5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including laboratory materials and supplies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(2,970 )</w:t>
            </w:r>
          </w:p>
        </w:tc>
        <w:tc>
          <w:tcPr>
            <w:tcW w:w="3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(56 )%</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Personnel-related</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Facilities and overhead</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85 %</w:t>
            </w:r>
          </w:p>
        </w:tc>
      </w:tr>
      <w:tr>
        <w:trPr>
          <w:trHeight w:val="20"/>
        </w:trPr>
        <w:tc>
          <w:tcPr>
            <w:tcW w:w="5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112,473</w:t>
            </w:r>
          </w:p>
        </w:tc>
        <w:tc>
          <w:tcPr>
            <w:tcW w:w="2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125 %</w:t>
            </w: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-170815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-170815</wp:posOffset>
            </wp:positionV>
            <wp:extent cx="154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1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$62.6 million, or 125%, from $49.9 million for the year ended December 31, 2023 to $112.5 million for the year ended December 31, 2024. CRO, CMO, professional consulting and other third-party preclinical studies and clinical trial costs increased by $46.2 million for the year ended December 31, 2024 compared to 2023, as we continued advancing our lead product candidate, KYV-101, through clinical development. Other research and development costs, including laboratory materials and supplies,</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19" w:name="page120"/>
    <w:bookmarkEnd w:id="119"/>
    <w:p>
      <w:pPr>
        <w:spacing w:after="0" w:line="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decreased by $3.0 million for the year ended December 31, 2024 compared to 2023, mainly due to a reduction in procurement of materials for our research and development activities. License fees, milestone payments and annual maintenance fees related to acquired technologies for the year ended December 31, 2024 mainly included expenses related to the minimum annual royalties and milestone fees of $0.9 million payable to the NIH.</w:t>
      </w:r>
    </w:p>
    <w:p>
      <w:pPr>
        <w:spacing w:after="0" w:line="176"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 2024, personnel-related research and development costs increased by $13.5 million as a result of hiring personnel in our research and development organization during the year. This increase included an increase of $1.7 million in stock-based compensation expense, as we granted more options. Facilities and overhead costs increased by $5.2 million for 2024, mainly due to a $1.3 million increase in allocated overhead expenses, a $1.0 million increase in depreciation expense, a $1.1 million increase in software licenses expense, and an increase in conferences, recruitment and other expenses.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external costs by program for the periods presented:</w:t>
      </w:r>
    </w:p>
    <w:p>
      <w:pPr>
        <w:spacing w:after="0" w:line="25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10"/>
        </w:trPr>
        <w:tc>
          <w:tcPr>
            <w:tcW w:w="5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r>
      <w:tr>
        <w:trPr>
          <w:trHeight w:val="142"/>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KYV-101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61,884</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239 %</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KYV-201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(562 )</w:t>
            </w: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activities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5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external research and development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70,908</w:t>
            </w:r>
          </w:p>
        </w:tc>
        <w:tc>
          <w:tcPr>
            <w:tcW w:w="2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2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163 %</w:t>
            </w: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-170815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-170815</wp:posOffset>
            </wp:positionV>
            <wp:extent cx="1543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2024, KYV-101 program expenses increased by $43.6 million, primarily attributable to a $39.0 million increase in CRO, CMO and other clinical trials costs as we continued to advance KYV-101 through clinical development. KYV-101 program CRO, CMC and other clinical trial costs in 2024 also include $4.0 million compared to $1.6 million in 2023 of external expense related to the development of our Ingenui-T manufacturing process. The Ingenui-T manufacturing process is also used to develop a new program, KYV-102, announced in January 2025. Professional consulting expenses related to KYV-101 increased by $4.1 million and license maintenance expenses increased by $0.5 million for the year ended December 31, 2024 compared to the year ended December 31, 2023.</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KYV-201 expenses decreased by $0.6 million for the year ended December 31, 2024 compared to the year ended December 31, 2023. CRO, CMO and consulting expenses increased by $0.7 million. This increase was off-set by a $1.2 million decrease in other research and development costs, such as reagents, laboratory materials and supplies expenses.</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Other research and development activities increased by $0.8 million for the year ended December 31, 2024 compared to the year ended December 31, 2023 and include expenses related to reagents, lab supplies, outsourced research and development and professional consulting services.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$17.6 million, or 141%, to $30.1 million for the year ended December 31, 2024 from $12.5 million for the year ended December 31, 2023. The increase in general and administrative expenses was primarily attributable to a $10.7 million increase in salaries and benefits, an increase of $4.7 million in professional services costs related to legal, accounting and consulting services, and a $2.2 million increase in facilities and overhead costs. The increase in salaries and benefits expenses include a $4.5 million increase in stock-based compensation expense, which includes $2.8 million of expenses recognized in connection with the note forgiveness and stock modification expense related to the former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Interest income increased $13.1 million, from $2.3 million for the year ended December 31, 2023 to $15.4 million for the year ended December 31, 2024. The increase primarily relates to increased amounts invested in available-for-sale marketable securities and cash equivalents following the IPO in February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Through December 31, 2024, we have primarily funded our operations from sales of shares of our redeemable convertible preferred stock of $168.0 million, issuances of convertible notes of $2.0 million, an upfront payment of $17.5 million under the Gilead Agreement and net proceeds from the IPO of $336.2 million. As of December 31, 2024, we had $286.0 million in cash, cash equivalents and available-for-sale marketable securities.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and incur costs associated with the potential commercialization of our product candidates, if approved.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As of December 31, 2024, we had an accumulated deficit of $263.5 million. Based on the current cash forecast, management has determined that our cash and cash equivalents and available-for-sale marketable securities of $286.0 million as of December 31, 2024 will be sufficient to fund our planned operations for at least one year from the issuance date of the financial statements included in Part II, Item 8 of this Annual Report on Form 10-K. Our operating cash burn can vary from quarter to quarter; for example, we made certain one-time investments in our CMC readiness in the second half of 2024, which we expect to continue through the first half of 2025 for an anticipated BLA in 2026. We have also accelerated enrollment in certain of our clinical trials, with completion of enrollment in our pivotal Phase 2 trial in SPS expected in mid-2025. For these reasons, we currently expect our operating cash burn in the first half of 2025 to be higher than our operating cash burn in the second half of 2025. This forecast of cash resources and planned operations involves risks and uncertainties, and the actual amount of expenses could vary materially as a result of a number of factors.</w:t>
      </w:r>
    </w:p>
    <w:p>
      <w:pPr>
        <w:spacing w:after="0" w:line="18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11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progress and results of our preclinical studies and clinical trials for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duration of clinical trials required for regulatory approval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for our product candidates, including any requirement to conduct more studies or generate additional data beyond that which we currently expect would be required to support a Biologic License Application;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as well as scale-up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increase in the number of our employees and expansion of our physical facilities to support growth initiatives;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86" w:lineRule="exact"/>
        <w:rPr>
          <w:sz w:val="20"/>
          <w:szCs w:val="20"/>
          <w:color w:val="auto"/>
        </w:rPr>
      </w:pPr>
    </w:p>
    <w:p>
      <w:pPr>
        <w:ind w:left="1020" w:right="3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expenses we incur to defend against any claims, including the cost of filing and prosecuting our patent applications, and maintaining and enforcing our patents and other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informational systems and efforts to enhance operational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as well as other factors, including economic uncertainty and geopolitical tensions, which may exacerbate the magnitude of the factors discussed above.</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Furthermore, our operating plans may change, and we may need additional funds to meet operational needs and capital requirements for clinical trials and other research and development expenditures.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(114,250 )</w:t>
            </w:r>
          </w:p>
        </w:tc>
        <w:tc>
          <w:tcPr>
            <w:tcW w:w="3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(52,410 )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(160,902 )</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(8,785 )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337,113</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58,118</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w w:val="99"/>
              </w:rPr>
              <w:t>Net increase (decrease) in cash and cash equivalents</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61,961</w:t>
            </w:r>
          </w:p>
        </w:tc>
        <w:tc>
          <w:tcPr>
            <w:tcW w:w="240" w:type="dxa"/>
            <w:vAlign w:val="bottom"/>
          </w:tcPr>
          <w:p>
            <w:pPr>
              <w:spacing w:after="0"/>
              <w:rPr>
                <w:sz w:val="18"/>
                <w:szCs w:val="18"/>
                <w:color w:val="auto"/>
              </w:rPr>
            </w:pP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(3,077 )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0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w w:val="96"/>
              </w:rPr>
              <w:t>117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-1216660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-1216660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was $114.3 million and $52.4 million for the years ended December 31, 2024 and 2023, respectively.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2024, was primarily due to our net loss of $127.5 million, decreased by other non-cash charges of $5.4 million and decreased by a net reduction of $7.9 million in our net operating assets and liabilities. Non-cash changes primarily consisted of $8.4 million stock-based compensation expense, $2.1 million depreciation and amortization expense and a $2.5 million non-cash lease expense, partially offset by $7.7 million accretion of discount on available-for-sale marketable securities. The change in our net operating assets and liabilities was primarily due to an increase in other accrued expenses and current liabilities of $10.9 million, primarily due to an increase in accrued CRO and CMO research and development expenses, an increase in accrued compensation of $2.1 million, and an increase in accounts payable of $0.7 million, partially offset by a decrease in operating lease liabilities of $2.4 million, an increase in other non-current assets of $2.0 million, and an increase in prepaid expenses and other current assets of $1.5 million.</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2023, was primarily due to our net loss of $60.4 million, decreased by other non-cash charges of $4.5 million and decreased by a net reduction of $3.4 million in our net operating assets and liabilities. Non-cash changes primarily consisted of $2.2 million of stock-based compensation expense, $1.7 million of depreciation and amortization expense and a $1.7 million non-cash lease expense, partially offset by $1.1 million accretion of discount on available-for-sale marketable securities. The change in our net operating assets and liabilities was primarily due to an increase in accounts payable of $4.1 million, a $2.7 million increase in other current liabilities and a $1.4 million increase in accrued compensation, offset by an increase in other non-current assets of $1.8 million, a decrease in operating lease liabilities of $1.7 million and an increase in prepaid expenses and other current assets of $1.2 million.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$160.9 million, which consisted of $490.0 million of purchases of available-for-sale marketable securities and $2.2 million of purchases of property and equipment, offset by $331.3 million in proceeds from maturities of available-for-sale marketable securities.</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$8.8 million, which consisted of $54.8 million of purchases of available-for-sale marketable securities and $0.6 million of purchases of property and equipment, offset by $46.7 million in proceeds from maturities and sales of available-for-sale marketable securities.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$337.1 million, which consisted of $341.2 million cash proceeds from the issuance of shares of our common stock in the IPO, net of underwriting discount and $0.3 million of proceeds from exercises of stock options, partially offset by a payment of $3.4 million related to offering costs and a payment of $1.0 million related to finance lease obligations.</w:t>
      </w:r>
    </w:p>
    <w:p>
      <w:pPr>
        <w:spacing w:after="0" w:line="68"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$58.1 million, which consisted of $59.9 million net cash proceeds from our issuance of shares of Series B Preferred Stock and $0.6 million of proceeds from exercises of stock options, partially offset by a payment of $0.8 million related to finance lease obligations and a payment of $1.6 million related to deferred initial public offering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clinical trials, with CMOs for clinical supplies manufacturing and with other vendors for preclinical studies, supplies and other products and services for operating purposes. These agreements generally provide for termination at the request of either party generally with less than one-year notice and, therefore, we believe that our non-cancellable obligations under these agreements are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 material. We do not currently expect any of our other agreements to be terminated and did not have any other non-cancellable obligations under these agreements as of December 31, 2024 and 2023.</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milestone, royalty and other payments due to third parties under our existing license and collaboration agreements. Refer to Note 6 to our financial statements included in Part II, Item 8 of this Annual Report on Form 10-K for additional details. We cannot estimate when such payments will be due and none of these events were probable to occur as of December 31, 2024 and 2023.</w:t>
      </w:r>
    </w:p>
    <w:p>
      <w:pPr>
        <w:spacing w:after="0" w:line="176" w:lineRule="exact"/>
        <w:rPr>
          <w:sz w:val="20"/>
          <w:szCs w:val="20"/>
          <w:color w:val="auto"/>
        </w:rPr>
      </w:pPr>
    </w:p>
    <w:p>
      <w:pPr>
        <w:jc w:val="both"/>
        <w:ind w:right="3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leased approximately 68,000 square feet of office and laboratory space in Emeryville, California under operating leases which have terms through February 2027. We also have multiple leases for laboratory equipment with 36-month terms that are accounted for as finance leases. As of December 31, 2024, our non-cancellable lease obligations were $8.1 million and $1.1 million under operating and finance leases, respectively, of which $3.6 million and $0.9 million related to operating and finance leases, respectively, are due within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financial statements included in Part II, Item 8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we evaluate our estimates and judgments, including, but not limited to, those related to accrued research and development costs and stock-based compensation expense.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19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Although our significant accounting policies are described in more detail in Note 2 to our financial statements included in Part II, Item 8 of this Annual Report on Form 10-K, we believe that the following accounting estimates are those most critical to the judgments and estimates used in the preparation of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charged to expense as incurred. Research and development expenses include certain payroll and personnel expenses, license fees, laboratory supplies, consulting costs, external contract research and development expenses, and allocated overhead, including rent, equipment depreciation and utilities. Advance payments for goods or services for future research and development activities are deferred as prepaid expenses and expensed as the goods are delivered or the related services are performed.</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various agreements with outsourced vendors, CMOs and CROs. We make estimates of accrued research and development expenses as of each balance sheet date based on facts and circumstances known at that time. We periodically confirm the accuracy of our estimates with the service providers and make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timing of the performance of services or the level of effort varies from the original estimates, we will adjust the accrual accordingly.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measure stock-based option awards made to employees and non-employees based on the estimated fair value of the awards as of the grant date using the Black-Scholes option-pricing model. The model requires management to make a number of assumptions including common stock fair value, expected volatility, expected term, risk-free interest rate and expected dividend yield.</w:t>
      </w:r>
    </w:p>
    <w:p>
      <w:pPr>
        <w:spacing w:after="0" w:line="1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Prior to the IPO, the fair market value of our common stock was determined by our board of directors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assistance from management and external valuation experts. Our approach to estimating the fair market value of our common stock was consistent with the methods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Privately-Held-Company Equity Securities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Compensation</w:t>
      </w:r>
      <w:r>
        <w:rPr>
          <w:rFonts w:ascii="Times New Roman" w:cs="Times New Roman" w:eastAsia="Times New Roman" w:hAnsi="Times New Roman"/>
          <w:sz w:val="18"/>
          <w:szCs w:val="18"/>
          <w:color w:val="auto"/>
        </w:rPr>
        <w:t>. Following our IPO, the fair market value of our common stock is based on its closing price on Nasdaq as reported on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grant.</w:t>
      </w:r>
    </w:p>
    <w:p>
      <w:pPr>
        <w:spacing w:after="0" w:line="183"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is estimated by studying the volatility of the prices of shares of common stock of comparable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similar terms. We will continue to apply this process until enough historical information regarding the volatility of our stock price becomes available.</w:t>
      </w:r>
    </w:p>
    <w:p>
      <w:pPr>
        <w:spacing w:after="0" w:line="173" w:lineRule="exact"/>
        <w:rPr>
          <w:sz w:val="20"/>
          <w:szCs w:val="20"/>
          <w:color w:val="auto"/>
        </w:rPr>
      </w:pPr>
    </w:p>
    <w:p>
      <w:pPr>
        <w:ind w:right="4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Expected term represents the period that our stock-based awards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w:t>
      </w:r>
    </w:p>
    <w:p>
      <w:pPr>
        <w:spacing w:after="0" w:line="158"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zero-coupon bonds issued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option.</w:t>
      </w:r>
    </w:p>
    <w:p>
      <w:pPr>
        <w:spacing w:after="0" w:line="158"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Black-Scholes valuation model calls for a single expected dividend yield as an input. To date, we have not declared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any dividends and we do not expect to declare or pay any dividends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ensure liquidity and to preserve capital. We are exposed to market risks related to changes in interest rates of our cash equivalents and available-for-sale marketable securities. However, due to the nature of these cash equivalents and investments, we do not believe that a hypothetical 10% increase or decrease in interest rates during any of the periods presented would have had a material effect on our financial statements included in Part II, Item 8 of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employees and our operations are currently predominately located in the United States and our expenses are generally denominated in U.S. dollars. However, we do use research and development vendors outside of the United States. As such, our expenses are denominated in both U.S. dollars and foreign currencies. Therefore, our operations are and will continue to be subject to fluctuations in foreign currency exchange rates. To date, foreign currency transaction gains and losses have not been material to our financial statements, and we have not had a formal hedging program with respect to foreign currency. We do not believe that a hypothetical 10% increase or decrease in exchange rates during any of the periods presented would have had a material effect on our financial statements included in Part II, Item 8 of this </w:t>
      </w:r>
      <w:r>
        <w:rPr>
          <w:rFonts w:ascii="Times New Roman" w:cs="Times New Roman" w:eastAsia="Times New Roman" w:hAnsi="Times New Roman"/>
          <w:sz w:val="18"/>
          <w:szCs w:val="18"/>
          <w:color w:val="231F20"/>
        </w:rPr>
        <w:t>Annual Report on Form 10-K</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Inflation generally affects us by increasing our cost of labor and research and development costs. We do not believe that inflation had a material effect on our business, results of operations or financial condition, or on our financial statements included in Part II, Item 8 of this </w:t>
      </w:r>
      <w:r>
        <w:rPr>
          <w:rFonts w:ascii="Times New Roman" w:cs="Times New Roman" w:eastAsia="Times New Roman" w:hAnsi="Times New Roman"/>
          <w:sz w:val="18"/>
          <w:szCs w:val="18"/>
          <w:color w:val="231F20"/>
        </w:rPr>
        <w:t>Annual Report on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10-K</w:t>
      </w:r>
      <w:r>
        <w:rPr>
          <w:rFonts w:ascii="Times New Roman" w:cs="Times New Roman" w:eastAsia="Times New Roman" w:hAnsi="Times New Roman"/>
          <w:sz w:val="18"/>
          <w:szCs w:val="18"/>
          <w:color w:val="000000"/>
        </w:rPr>
        <w: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26" w:name="page127"/>
    <w:bookmarkEnd w:id="1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or the CEO, and Chief Financial Officer, or the CFO (our principal executive officer and principal financial officer, respectively), evaluated the effectiveness of our disclosure controls and procedures as of December 31, 2024. The term “disclosure controls and procedures,” as defined in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Based on their evaluation, the CEO and the CFO have concluded that our disclosure controls and procedures were not effective as of December 31, 2024 because of the material weaknesses in our internal control over financial reporting described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and 15d-15(f) under the Exchange Act. Our management, including the CEO and the CFO, conducted an evaluation of the effectiveness of our internal control over financial reporting based on the 2013 framework in Internal Control—Integrated Framework issued by the Committee of Sponsoring Organizations of the Treadway Commission, or COSO. Based on this evaluation, our management concluded that our internal control over financial reporting was not effective as of December 31, 2024, due to the material weaknesses in internal control over financial reporting, described below. However, after giving full consideration to these material weaknesses, and the additional analyses and other procedures we performed to ensure that our financial statements included in this Annual Report on Form 10-K were prepared in accordance with U.S. generally accepted accounting principles, or GAAP, our management has concluded that our financial statements present fairly, in all material respects, our financial position, results of operations and cash flows for the periods disclosed in conformity with GAAP.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Weaknesses in Internal Controls Over Financial Reporting</w:t>
      </w:r>
    </w:p>
    <w:p>
      <w:pPr>
        <w:spacing w:after="0" w:line="22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previously disclosed in Part II, Item 9A of our Annual Report on Form 10-K for the fiscal year ended December 31, 2023, we did not appropriately design and maintain entity-level controls impacting the control environment, risk assessment, control activities, information and communication and monitoring activities to prevent or detect material misstatements to the financial statements. These material weaknesses related to (i) an insufficient number of qualified resources to ensure adequate oversight and accountability over the performance of controls, including retention of control evidence, (ii) ineffective identification and assessment of risks impacting internal control over financial reporting, and (iii) insufficient evaluation and determination as to whether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7" w:name="page128"/>
    <w:bookmarkEnd w:id="127"/>
    <w:p>
      <w:pPr>
        <w:ind w:right="140"/>
        <w:spacing w:after="0" w:line="282" w:lineRule="auto"/>
        <w:rPr>
          <w:sz w:val="20"/>
          <w:szCs w:val="20"/>
          <w:color w:val="auto"/>
        </w:rPr>
      </w:pPr>
      <w:r>
        <w:rPr>
          <w:rFonts w:ascii="Times New Roman" w:cs="Times New Roman" w:eastAsia="Times New Roman" w:hAnsi="Times New Roman"/>
          <w:sz w:val="18"/>
          <w:szCs w:val="18"/>
          <w:color w:val="auto"/>
        </w:rPr>
        <w:t>components of internal controls were present and functioning based upon evidence maintained for management review controls and activity level controls across substantially all financial statement areas. These material weaknesses continue to exist as of December 31, 2024.</w:t>
      </w:r>
    </w:p>
    <w:p>
      <w:pPr>
        <w:spacing w:after="0" w:line="54" w:lineRule="exact"/>
        <w:rPr>
          <w:sz w:val="20"/>
          <w:szCs w:val="20"/>
          <w:color w:val="auto"/>
        </w:rPr>
      </w:pPr>
    </w:p>
    <w:p>
      <w:pPr>
        <w:ind w:right="380" w:firstLine="509"/>
        <w:spacing w:after="0" w:line="256" w:lineRule="auto"/>
        <w:rPr>
          <w:sz w:val="20"/>
          <w:szCs w:val="20"/>
          <w:color w:val="auto"/>
        </w:rPr>
      </w:pPr>
      <w:r>
        <w:rPr>
          <w:rFonts w:ascii="Times New Roman" w:cs="Times New Roman" w:eastAsia="Times New Roman" w:hAnsi="Times New Roman"/>
          <w:sz w:val="18"/>
          <w:szCs w:val="18"/>
          <w:color w:val="auto"/>
        </w:rPr>
        <w:t>As previously disclosed in Part II, Item 9A of our Annual Report on Form 10-K for the fiscal year ended December 31, 2023, these material weaknesses contributed to the following additional material weakness: we did not design and maintain effective (i) general controls over information systems that support the financial reporting process, (ii) controls over the completeness and accuracy of information used in the operation of control activities across substantially all financial statement areas, and (iii) management review controls at a sufficient level of precision to detect a material misstatement across substantially all financial statement areas that involve complex and judgmental areas of accounting and disclosure. These material weaknesses continue to exist as of December 31, 2024.</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Remediation of Material Weaknesses</w:t>
      </w:r>
    </w:p>
    <w:p>
      <w:pPr>
        <w:spacing w:after="0" w:line="146"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our management, with the oversight of the Audit Committee of our board of directors, has taken substantial measures toward remediating the control deficiencies contributing to the material weaknesses identified above. These remediation efforts include the following:</w:t>
      </w:r>
    </w:p>
    <w:p>
      <w:pPr>
        <w:spacing w:after="0" w:line="284" w:lineRule="exact"/>
        <w:rPr>
          <w:sz w:val="20"/>
          <w:szCs w:val="20"/>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additional accounting and IT personnel, including but not limited to the hiring of a Vice President of Accounting/Corporate Controller, a Head of Information Technology, and an Assistant Controller;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 third-party consulting firm to advise and assist in documenting the design and implementation of internal controls over the financial reporting process, including general controls over information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an initial risk assessment and continue to focus on the principles of the COSO framework related to risk assessment;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design and implement and will continue to enhance our entity level controls across each of the COSO components necessary for effective internal control;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formalized process documentation of all key processes and systems, including the mapping of controls to relevant financial reporting and IT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general controls over information systems across the majority of our relevant financial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 third-party technical accounting firm to help management with accounting, presentation and disclosures of complex and judgmental transactions and created an internal cross-functional disclosure committee that includes senior members of the organization;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design and implement the necessary management review controls across all financial statement areas;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manual procedures to validate the completeness and accuracy of certain reports generated from various financial systems that are relevant to the preparation of the financial statements.</w:t>
      </w:r>
    </w:p>
    <w:p>
      <w:pPr>
        <w:spacing w:after="0" w:line="27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management is committed to maintaining a strong internal control environment. We are committed to continuing to implement a strong system of controls and believe that our ongoing remediation efforts, particularly in the improvement of our control environment, will result in significant improvements to our system of controls. However, material weaknesses are not considered remediated until the new controls have been operational for a sufficient period of time, and management concludes, through testing, that these controls are operating effectively. We will continue to take efforts to address each of the identified weaknesses during fiscal year 2025. This remediation process may require additional resources and will require time to implement. We will continue to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8" w:name="page129"/>
    <w:bookmarkEnd w:id="128"/>
    <w:p>
      <w:pPr>
        <w:ind w:right="120"/>
        <w:spacing w:after="0" w:line="282" w:lineRule="auto"/>
        <w:rPr>
          <w:sz w:val="20"/>
          <w:szCs w:val="20"/>
          <w:color w:val="auto"/>
        </w:rPr>
      </w:pPr>
      <w:r>
        <w:rPr>
          <w:rFonts w:ascii="Times New Roman" w:cs="Times New Roman" w:eastAsia="Times New Roman" w:hAnsi="Times New Roman"/>
          <w:sz w:val="18"/>
          <w:szCs w:val="18"/>
          <w:color w:val="auto"/>
        </w:rPr>
        <w:t>monitor the effectiveness of these remediation measures, and we will make any changes to the design of our remediation plans and take such other actions that we deem appropriate given the circumstances.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of Independent Registered Public Accounting Firm</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an exemption provided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remediation measures described above, there were no changes in our internal control over financial reporting during the quarter ended December 31,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29"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Plan Activity</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2024, none of our directors or officers (as defined in Section 16 of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408(a)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Restated Non-Employee Director Compensation Program</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Effective March 25, 2025, the compensation committee of our board of directors implemented a Restated Non-Employee Director Compensation Program, or the Restated Director Compensation Program, which amends and restates the Company’s non-employee director compensation program that was adopted in connection with the IPO, or the Prior Director Compensation Program. The Restated Director Compensation Program provides that each non-employee director initially elected or appointed to our board of directors after March 25, 2025 will automatically be granted (A) an option under the 2024 Plan to purchase that number of shares of our common stock equal to $262,500 divided by the per share grant date fair value of the option award, which will vest as to 1/36th of the underlying shares on a monthly basis over three years, subject to continued service through the applicable vesting date, and (B) restricted stock units under the 2024 Plan or any other applicable Company equity incentive plan then maintained by us covering a number of shares of common stock equal to $87,500 divided by the per share grant date fair market value as of the date of the grant, rounded down to the nearest whole share, which will vest as to 1/3rd of the shares subject thereto on each one-year anniversary over three years, subject to continued service through the applicable vesting date.</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pursuant to the Restated Director Compensation Program, on the date of each annual meeting of our stockholders, commencing with our 2025 annual meeting of shareholders, each non-employee director who (i) has been serving on our board of directors for at least four months and (ii) will continue to serve as a non-employee director immediately following such annual meeting will automatically be granted (A) an option, or the Annual Option Grant, under the 2024 Plan to purchase that number of shares of our common stock equal to (a) $131,250, divided by (b) the per share grant date fair value of the option award, or (B) restricted stock units, or the Annual RSU Grant, under the 2024 Plan or any other applicable Company equity incentive plan then maintained by us covering a number of shares of common stock equal to $43,750 divided by the per share grant date fair market value as of the date of the grant, rounded down to the nearest whole share. Each of the Annual Option Grant and the Annual RSU Grant will be automatically granted on the date of each applicable annual meeting of shareholders and will vest in full on the earlier of (i) the first anniversary of the grant date and (ii) immediately prior to the annual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9" w:name="page130"/>
    <w:bookmarkEnd w:id="12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meeting of our stockholders following the date of grant, subject to continued service through the applicable vesting date.</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Pursuant to the Restated Director Compensation Program, upon a change-in-control transaction, all outstanding equity awards held by our non-employee directors will vest in full. </w:t>
      </w:r>
      <w:r>
        <w:rPr>
          <w:rFonts w:ascii="Times New Roman" w:cs="Times New Roman" w:eastAsia="Times New Roman" w:hAnsi="Times New Roman"/>
          <w:sz w:val="18"/>
          <w:szCs w:val="18"/>
          <w:color w:val="000000"/>
        </w:rPr>
        <w:t>The cash compensation under the</w:t>
      </w:r>
      <w:r>
        <w:rPr>
          <w:rFonts w:ascii="Times New Roman" w:cs="Times New Roman" w:eastAsia="Times New Roman" w:hAnsi="Times New Roman"/>
          <w:sz w:val="18"/>
          <w:szCs w:val="18"/>
          <w:color w:val="231F20"/>
        </w:rPr>
        <w:t xml:space="preserve"> Restated Director Compensation Program remains the same as what was provided for in the Prior Director Compensation Program. See Part III, Item 11 of this Annual Report on Form 10-K for additional details regarding our non-employee director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March 27, 2025, our board of directors consists of eight members. In accordance with our amended and restated certificate of incorporation, our board of directors is divided into three classes with staggered three-year terms. At each annual meeting of stockholders, the successors to directors whose terms will then expire will be elected to serve from the time of election and qualification until the third annual meeting following their election. Our directors are divided among the three classes as follows:</w:t>
      </w:r>
    </w:p>
    <w:p>
      <w:pPr>
        <w:spacing w:after="0" w:line="72" w:lineRule="exact"/>
        <w:rPr>
          <w:sz w:val="20"/>
          <w:szCs w:val="20"/>
          <w:color w:val="auto"/>
        </w:rPr>
      </w:pPr>
    </w:p>
    <w:p>
      <w:pPr>
        <w:ind w:left="1020" w:right="4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Beth Seidenberg, M.D. and Fred E. Cohen, M.D., D.Phil., and their terms will expire at the annual meeting of stockholders to be held in 2025;</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Ian Clark, Christi Shaw and Steve Liapis, Ph.D., and their terms will expire at the annual meeting of stockholders to be held in 2026; and</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Warner Biddle, Mert Aktar and Daniel K. Spiegelman, and their terms will expire at the annual meeting of stockholders to be held in 2027.</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as of March 27, 2025:</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Name</w:t>
            </w: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231F20"/>
                <w:w w:val="99"/>
              </w:rPr>
              <w:t>Age</w:t>
            </w: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231F20"/>
              </w:rPr>
              <w:t>Position(s)</w:t>
            </w:r>
          </w:p>
        </w:tc>
        <w:tc>
          <w:tcPr>
            <w:tcW w:w="26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231F20"/>
              </w:rPr>
              <w:t>Director Since</w:t>
            </w:r>
          </w:p>
        </w:tc>
      </w:tr>
      <w:tr>
        <w:trPr>
          <w:trHeight w:val="216"/>
        </w:trPr>
        <w:tc>
          <w:tcPr>
            <w:tcW w:w="8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231F20"/>
              </w:rPr>
              <w:t>Class I Directors whose terms expire at the 2025 Annual Meeting of Stockholders</w:t>
            </w:r>
          </w:p>
        </w:tc>
        <w:tc>
          <w:tcPr>
            <w:tcW w:w="2640" w:type="dxa"/>
            <w:vAlign w:val="bottom"/>
            <w:shd w:val="clear" w:color="auto" w:fill="CFF0FC"/>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Beth Seidenberg, M.D.</w:t>
            </w:r>
            <w:r>
              <w:rPr>
                <w:rFonts w:ascii="Times New Roman" w:cs="Times New Roman" w:eastAsia="Times New Roman" w:hAnsi="Times New Roman"/>
                <w:sz w:val="11"/>
                <w:szCs w:val="11"/>
                <w:color w:val="231F20"/>
              </w:rPr>
              <w:t>(1)(2)(3)</w:t>
            </w:r>
            <w:r>
              <w:rPr>
                <w:rFonts w:ascii="Times New Roman" w:cs="Times New Roman" w:eastAsia="Times New Roman" w:hAnsi="Times New Roman"/>
                <w:sz w:val="18"/>
                <w:szCs w:val="18"/>
                <w:color w:val="231F20"/>
              </w:rPr>
              <w:t xml:space="preserve">  . . . . . . . .</w:t>
            </w: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231F20"/>
                <w:w w:val="99"/>
              </w:rPr>
              <w:t>68</w:t>
            </w: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Director</w:t>
            </w:r>
          </w:p>
        </w:tc>
        <w:tc>
          <w:tcPr>
            <w:tcW w:w="2640" w:type="dxa"/>
            <w:vAlign w:val="bottom"/>
          </w:tcPr>
          <w:p>
            <w:pPr>
              <w:ind w:left="940"/>
              <w:spacing w:after="0"/>
              <w:rPr>
                <w:sz w:val="20"/>
                <w:szCs w:val="20"/>
                <w:color w:val="auto"/>
              </w:rPr>
            </w:pPr>
            <w:r>
              <w:rPr>
                <w:rFonts w:ascii="Times New Roman" w:cs="Times New Roman" w:eastAsia="Times New Roman" w:hAnsi="Times New Roman"/>
                <w:sz w:val="18"/>
                <w:szCs w:val="18"/>
                <w:color w:val="231F20"/>
              </w:rPr>
              <w:t>2018</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231F20"/>
              </w:rPr>
              <w:t>Fred E. Cohen, M.D., D.Phil.</w:t>
            </w:r>
            <w:r>
              <w:rPr>
                <w:rFonts w:ascii="Times New Roman" w:cs="Times New Roman" w:eastAsia="Times New Roman" w:hAnsi="Times New Roman"/>
                <w:sz w:val="11"/>
                <w:szCs w:val="11"/>
                <w:color w:val="231F20"/>
              </w:rPr>
              <w:t>(1)(3)</w:t>
            </w:r>
            <w:r>
              <w:rPr>
                <w:rFonts w:ascii="Times New Roman" w:cs="Times New Roman" w:eastAsia="Times New Roman" w:hAnsi="Times New Roman"/>
                <w:sz w:val="18"/>
                <w:szCs w:val="18"/>
                <w:color w:val="231F20"/>
              </w:rPr>
              <w:t xml:space="preserve"> . . . .</w:t>
            </w:r>
          </w:p>
        </w:tc>
        <w:tc>
          <w:tcPr>
            <w:tcW w:w="1140" w:type="dxa"/>
            <w:vAlign w:val="bottom"/>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231F20"/>
                <w:w w:val="99"/>
              </w:rPr>
              <w:t>68</w:t>
            </w: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231F20"/>
              </w:rPr>
              <w:t>Director</w:t>
            </w:r>
          </w:p>
        </w:tc>
        <w:tc>
          <w:tcPr>
            <w:tcW w:w="26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231F20"/>
              </w:rPr>
              <w:t>2018</w:t>
            </w:r>
          </w:p>
        </w:tc>
      </w:tr>
      <w:tr>
        <w:trPr>
          <w:trHeight w:val="216"/>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231F20"/>
              </w:rPr>
              <w:t>Class II Directors whose terms expire at the 2026 Annual Meeting of Stockholders</w:t>
            </w:r>
          </w:p>
        </w:tc>
        <w:tc>
          <w:tcPr>
            <w:tcW w:w="2640" w:type="dxa"/>
            <w:vAlign w:val="bottom"/>
          </w:tcPr>
          <w:p>
            <w:pPr>
              <w:spacing w:after="0"/>
              <w:rPr>
                <w:sz w:val="18"/>
                <w:szCs w:val="18"/>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231F20"/>
              </w:rPr>
              <w:t>Ian Clark</w:t>
            </w:r>
            <w:r>
              <w:rPr>
                <w:rFonts w:ascii="Times New Roman" w:cs="Times New Roman" w:eastAsia="Times New Roman" w:hAnsi="Times New Roman"/>
                <w:sz w:val="11"/>
                <w:szCs w:val="11"/>
                <w:color w:val="231F20"/>
              </w:rPr>
              <w:t>(2)</w:t>
            </w:r>
            <w:r>
              <w:rPr>
                <w:rFonts w:ascii="Times New Roman" w:cs="Times New Roman" w:eastAsia="Times New Roman" w:hAnsi="Times New Roman"/>
                <w:sz w:val="18"/>
                <w:szCs w:val="18"/>
                <w:color w:val="231F20"/>
              </w:rPr>
              <w:t xml:space="preserve"> . . . . . . . . . . . . . . . . . . . . . . .</w:t>
            </w:r>
          </w:p>
        </w:tc>
        <w:tc>
          <w:tcPr>
            <w:tcW w:w="1140" w:type="dxa"/>
            <w:vAlign w:val="bottom"/>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231F20"/>
                <w:w w:val="99"/>
              </w:rPr>
              <w:t>64</w:t>
            </w: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231F20"/>
              </w:rPr>
              <w:t>Director</w:t>
            </w:r>
          </w:p>
        </w:tc>
        <w:tc>
          <w:tcPr>
            <w:tcW w:w="26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231F20"/>
              </w:rPr>
              <w:t>2021</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Christi Shaw.</w:t>
            </w:r>
            <w:r>
              <w:rPr>
                <w:rFonts w:ascii="Times New Roman" w:cs="Times New Roman" w:eastAsia="Times New Roman" w:hAnsi="Times New Roman"/>
                <w:sz w:val="11"/>
                <w:szCs w:val="11"/>
                <w:color w:val="231F20"/>
              </w:rPr>
              <w:t>(1)(2)</w:t>
            </w:r>
            <w:r>
              <w:rPr>
                <w:rFonts w:ascii="Times New Roman" w:cs="Times New Roman" w:eastAsia="Times New Roman" w:hAnsi="Times New Roman"/>
                <w:sz w:val="18"/>
                <w:szCs w:val="18"/>
                <w:color w:val="231F20"/>
              </w:rPr>
              <w:t xml:space="preserve">  . . . . . . . . . . . . .. . . . .</w:t>
            </w: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231F20"/>
                <w:w w:val="99"/>
              </w:rPr>
              <w:t>58</w:t>
            </w: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Director</w:t>
            </w:r>
          </w:p>
        </w:tc>
        <w:tc>
          <w:tcPr>
            <w:tcW w:w="2640" w:type="dxa"/>
            <w:vAlign w:val="bottom"/>
          </w:tcPr>
          <w:p>
            <w:pPr>
              <w:ind w:left="940"/>
              <w:spacing w:after="0"/>
              <w:rPr>
                <w:sz w:val="20"/>
                <w:szCs w:val="20"/>
                <w:color w:val="auto"/>
              </w:rPr>
            </w:pPr>
            <w:r>
              <w:rPr>
                <w:rFonts w:ascii="Times New Roman" w:cs="Times New Roman" w:eastAsia="Times New Roman" w:hAnsi="Times New Roman"/>
                <w:sz w:val="18"/>
                <w:szCs w:val="18"/>
                <w:color w:val="231F20"/>
              </w:rPr>
              <w:t>2024</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231F20"/>
              </w:rPr>
              <w:t>Steve Liapis, Ph.D.</w:t>
            </w:r>
            <w:r>
              <w:rPr>
                <w:rFonts w:ascii="Times New Roman" w:cs="Times New Roman" w:eastAsia="Times New Roman" w:hAnsi="Times New Roman"/>
                <w:sz w:val="11"/>
                <w:szCs w:val="11"/>
                <w:color w:val="231F20"/>
              </w:rPr>
              <w:t>(3)(4)</w:t>
            </w:r>
            <w:r>
              <w:rPr>
                <w:rFonts w:ascii="Times New Roman" w:cs="Times New Roman" w:eastAsia="Times New Roman" w:hAnsi="Times New Roman"/>
                <w:sz w:val="18"/>
                <w:szCs w:val="18"/>
                <w:color w:val="231F20"/>
              </w:rPr>
              <w:t xml:space="preserve">  . . . . . . . . . . . . .</w:t>
            </w:r>
          </w:p>
        </w:tc>
        <w:tc>
          <w:tcPr>
            <w:tcW w:w="1140" w:type="dxa"/>
            <w:vAlign w:val="bottom"/>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231F20"/>
                <w:w w:val="99"/>
              </w:rPr>
              <w:t>37</w:t>
            </w: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231F20"/>
              </w:rPr>
              <w:t>Director</w:t>
            </w:r>
          </w:p>
        </w:tc>
        <w:tc>
          <w:tcPr>
            <w:tcW w:w="26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231F20"/>
              </w:rPr>
              <w:t>2022</w:t>
            </w:r>
          </w:p>
        </w:tc>
      </w:tr>
      <w:tr>
        <w:trPr>
          <w:trHeight w:val="216"/>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231F20"/>
              </w:rPr>
              <w:t>Class III Directors whose terms expire at the 2027 Annual Meeting of Stockholders</w:t>
            </w:r>
          </w:p>
        </w:tc>
        <w:tc>
          <w:tcPr>
            <w:tcW w:w="2640" w:type="dxa"/>
            <w:vAlign w:val="bottom"/>
          </w:tcPr>
          <w:p>
            <w:pPr>
              <w:spacing w:after="0"/>
              <w:rPr>
                <w:sz w:val="18"/>
                <w:szCs w:val="18"/>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231F20"/>
              </w:rPr>
              <w:t>Warner Biddle . . . . . . . . . . . . . . . . . . . .</w:t>
            </w:r>
          </w:p>
        </w:tc>
        <w:tc>
          <w:tcPr>
            <w:tcW w:w="1140" w:type="dxa"/>
            <w:vAlign w:val="bottom"/>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231F20"/>
                <w:w w:val="99"/>
              </w:rPr>
              <w:t>58</w:t>
            </w: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231F20"/>
              </w:rPr>
              <w:t>Chief Executive Officer and Director</w:t>
            </w:r>
          </w:p>
        </w:tc>
        <w:tc>
          <w:tcPr>
            <w:tcW w:w="26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231F20"/>
              </w:rPr>
              <w:t>2024</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Mert Aktar.</w:t>
            </w:r>
            <w:r>
              <w:rPr>
                <w:rFonts w:ascii="Times New Roman" w:cs="Times New Roman" w:eastAsia="Times New Roman" w:hAnsi="Times New Roman"/>
                <w:sz w:val="11"/>
                <w:szCs w:val="11"/>
                <w:color w:val="231F20"/>
              </w:rPr>
              <w:t>(3)(4)</w:t>
            </w:r>
            <w:r>
              <w:rPr>
                <w:rFonts w:ascii="Times New Roman" w:cs="Times New Roman" w:eastAsia="Times New Roman" w:hAnsi="Times New Roman"/>
                <w:sz w:val="18"/>
                <w:szCs w:val="18"/>
                <w:color w:val="231F20"/>
              </w:rPr>
              <w:t xml:space="preserve">  . . . . . . . . . . . . . . . . . . .</w:t>
            </w: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231F20"/>
                <w:w w:val="99"/>
              </w:rPr>
              <w:t>46</w:t>
            </w: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Director</w:t>
            </w:r>
          </w:p>
        </w:tc>
        <w:tc>
          <w:tcPr>
            <w:tcW w:w="2640" w:type="dxa"/>
            <w:vAlign w:val="bottom"/>
          </w:tcPr>
          <w:p>
            <w:pPr>
              <w:ind w:left="940"/>
              <w:spacing w:after="0"/>
              <w:rPr>
                <w:sz w:val="20"/>
                <w:szCs w:val="20"/>
                <w:color w:val="auto"/>
              </w:rPr>
            </w:pPr>
            <w:r>
              <w:rPr>
                <w:rFonts w:ascii="Times New Roman" w:cs="Times New Roman" w:eastAsia="Times New Roman" w:hAnsi="Times New Roman"/>
                <w:sz w:val="18"/>
                <w:szCs w:val="18"/>
                <w:color w:val="231F20"/>
              </w:rPr>
              <w:t>2024</w:t>
            </w:r>
          </w:p>
        </w:tc>
      </w:tr>
      <w:tr>
        <w:trPr>
          <w:trHeight w:val="234"/>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231F20"/>
              </w:rPr>
              <w:t>Daniel K. Spiegelman</w:t>
            </w:r>
            <w:r>
              <w:rPr>
                <w:rFonts w:ascii="Times New Roman" w:cs="Times New Roman" w:eastAsia="Times New Roman" w:hAnsi="Times New Roman"/>
                <w:sz w:val="11"/>
                <w:szCs w:val="11"/>
                <w:color w:val="231F20"/>
              </w:rPr>
              <w:t>(4)</w:t>
            </w:r>
            <w:r>
              <w:rPr>
                <w:rFonts w:ascii="Times New Roman" w:cs="Times New Roman" w:eastAsia="Times New Roman" w:hAnsi="Times New Roman"/>
                <w:sz w:val="18"/>
                <w:szCs w:val="18"/>
                <w:color w:val="231F20"/>
              </w:rPr>
              <w:t xml:space="preserve">  . . . . . . . . . . . .</w:t>
            </w:r>
          </w:p>
        </w:tc>
        <w:tc>
          <w:tcPr>
            <w:tcW w:w="1140" w:type="dxa"/>
            <w:vAlign w:val="bottom"/>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231F20"/>
                <w:w w:val="99"/>
              </w:rPr>
              <w:t>66</w:t>
            </w: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231F20"/>
              </w:rPr>
              <w:t>Director</w:t>
            </w:r>
          </w:p>
        </w:tc>
        <w:tc>
          <w:tcPr>
            <w:tcW w:w="26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231F20"/>
              </w:rPr>
              <w:t>2021</w:t>
            </w:r>
          </w:p>
        </w:tc>
      </w:tr>
      <w:tr>
        <w:trPr>
          <w:trHeight w:val="49"/>
        </w:trPr>
        <w:tc>
          <w:tcPr>
            <w:tcW w:w="3560" w:type="dxa"/>
            <w:vAlign w:val="bottom"/>
            <w:shd w:val="clear" w:color="auto" w:fill="CFF0FC"/>
          </w:tcPr>
          <w:p>
            <w:pPr>
              <w:spacing w:after="0"/>
              <w:rPr>
                <w:sz w:val="4"/>
                <w:szCs w:val="4"/>
                <w:color w:val="auto"/>
              </w:rPr>
            </w:pPr>
          </w:p>
        </w:tc>
        <w:tc>
          <w:tcPr>
            <w:tcW w:w="1140" w:type="dxa"/>
            <w:vAlign w:val="bottom"/>
            <w:shd w:val="clear" w:color="auto" w:fill="CFF0FC"/>
          </w:tcPr>
          <w:p>
            <w:pPr>
              <w:spacing w:after="0"/>
              <w:rPr>
                <w:sz w:val="4"/>
                <w:szCs w:val="4"/>
                <w:color w:val="auto"/>
              </w:rPr>
            </w:pPr>
          </w:p>
        </w:tc>
        <w:tc>
          <w:tcPr>
            <w:tcW w:w="3780" w:type="dxa"/>
            <w:vAlign w:val="bottom"/>
            <w:shd w:val="clear" w:color="auto" w:fill="CFF0FC"/>
          </w:tcPr>
          <w:p>
            <w:pPr>
              <w:spacing w:after="0"/>
              <w:rPr>
                <w:sz w:val="4"/>
                <w:szCs w:val="4"/>
                <w:color w:val="auto"/>
              </w:rPr>
            </w:pPr>
          </w:p>
        </w:tc>
        <w:tc>
          <w:tcPr>
            <w:tcW w:w="2640" w:type="dxa"/>
            <w:vAlign w:val="bottom"/>
            <w:shd w:val="clear" w:color="auto" w:fill="CFF0FC"/>
          </w:tcPr>
          <w:p>
            <w:pPr>
              <w:spacing w:after="0"/>
              <w:rPr>
                <w:sz w:val="4"/>
                <w:szCs w:val="4"/>
                <w:color w:val="auto"/>
              </w:rPr>
            </w:pPr>
          </w:p>
        </w:tc>
      </w:tr>
    </w:tbl>
    <w:p>
      <w:pPr>
        <w:ind w:left="360" w:hanging="352"/>
        <w:spacing w:after="0"/>
        <w:tabs>
          <w:tab w:leader="none" w:pos="36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Compensation Committee.</w:t>
      </w:r>
    </w:p>
    <w:p>
      <w:pPr>
        <w:spacing w:after="0" w:line="9"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Nominating and Corporate Governance Committee.</w:t>
      </w:r>
    </w:p>
    <w:p>
      <w:pPr>
        <w:spacing w:after="0" w:line="9"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Science and Technology Committee.</w:t>
      </w:r>
    </w:p>
    <w:p>
      <w:pPr>
        <w:spacing w:after="0" w:line="9"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Audit Committee.</w:t>
      </w:r>
    </w:p>
    <w:p>
      <w:pPr>
        <w:spacing w:after="0" w:line="9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b w:val="1"/>
          <w:bCs w:val="1"/>
          <w:color w:val="231F20"/>
        </w:rPr>
        <w:t xml:space="preserve">Beth Seidenberg, M.D. </w:t>
      </w:r>
      <w:r>
        <w:rPr>
          <w:rFonts w:ascii="Times New Roman" w:cs="Times New Roman" w:eastAsia="Times New Roman" w:hAnsi="Times New Roman"/>
          <w:sz w:val="18"/>
          <w:szCs w:val="18"/>
          <w:color w:val="231F20"/>
        </w:rPr>
        <w:t>has served as a member of our board of directors since September 2018. Dr. Seidenberg is a managing director of Westlake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BioPartners, a life science venture capital firm she founded in September 2018. Since May 2005, Dr. Seidenberg has been a general partner at Kleiner Perkins Caufield &amp; Byers, LLC, a venture capital firm, where she has primarily focused on life sciences investing. Dr. Seidenberg was previously the Senior Vice President, Head of Global Development and Chief Medical Officer at Amgen, Inc. (Nasdaq: AMGN). In addition, Dr. Seidenberg was a senior executive in research and development at Bristol-Myers Squibb Company (NYSE: BMY) and Merck &amp; Co., Inc. (NYSE: MRK). From February 2008 to September 2019, Dr. Seidenberg served as a director of Epizyme, Inc. Dr. Seidenberg served on the boards of directors of TESARO, Inc., ARMO BioSciences, Inc., Atara Biotherapeutics, Inc. (Nasdaq: ATRA), and Progyny, Inc. (Nasdaq: PGNY), from June 2011 to January 2019, December 2012 to June 2018, August 2012 to June 2023 and May 2010 to November 2024, respectively. Dr. Seidenberg serves on the boards of directors of Vera Therapeutics, Inc. (Nasdaq: VERA), Acelyrin, Inc. (Nasdaq: SLRN), Sagimet Biosciences, Inc. (Nasdaq: SGMT) and several privately held life sciences companies. Dr. Seidenberg holds a Bachelor of Arts degree in biology and anthropology from Barnard College and attended medical school at the University of Miami School of Medicine. She completed her medical residency at Johns Hopkins University and George Washington University, and Fellowship at the National Institutes of Health.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spacing w:after="0" w:line="8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231F20"/>
        </w:rPr>
        <w:t>We believe Dr. Seidenberg is qualified to serve on our board of directors because of her training as a physician and her experience in the life sciences industry as a senior executive and venture capitalist who has incubated and invested in over twenty-five biotechnology ventures.</w:t>
      </w:r>
    </w:p>
    <w:p>
      <w:pPr>
        <w:spacing w:after="0" w:line="5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b w:val="1"/>
          <w:bCs w:val="1"/>
          <w:color w:val="231F20"/>
        </w:rPr>
        <w:t xml:space="preserve">Fred E. Cohen, M.D., D.Phil. </w:t>
      </w:r>
      <w:r>
        <w:rPr>
          <w:rFonts w:ascii="Times New Roman" w:cs="Times New Roman" w:eastAsia="Times New Roman" w:hAnsi="Times New Roman"/>
          <w:sz w:val="18"/>
          <w:szCs w:val="18"/>
          <w:color w:val="231F20"/>
        </w:rPr>
        <w:t>has served as a member of our board of directors since September 2018. Since November 2017, Dr. Cohen has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served as a Senior Managing Director of Vida Ventures, a venture capital firm that he co-founded in 2017. Dr. Cohen has also served as a co-founder and Chairman of Monograph Capital Partners, a biotechnology venture capital fund, since July 2021. Dr. Cohen currently serves as a Senior Advisor to TPG, where he previously served as a Partner and founder of TPG Biotechnology, a life science venture capital fund, from 2001 to 2016. Dr. Cohen was also a co-founder and executive chairperson of privately held Cell Design Labs, which was acquired by Gilead Sciences, Inc. (Nasdaq: GILD) in December 2017. From 1980 through 2014, Dr. Cohen was at the University of California, San Francisco (UCSF), where he held various responsibilities as a research scientist, an Internist for hospitalized patients, a consulting Endocrinologist and as the Chief of the Division of Endocrinology and Metabolism. Dr. Cohen’s research interests included structure-based drug design, prion diseases, computational biology and heteropolymer chemistry. Dr. Cohen has published over 200 peer-reviewed articles, participated as a co-inventor on over 10 patents and has served as an editor or editorial board member of several international scientific journals. Dr. Cohen received his Bachelor of Science degree in Molecular Biophysics and Biochemistry from Yale University, his D.Phil. in Molecular Biophysics from the University of Oxford on a Rhodes Scholarship, his M.D. from Stanford University and his postdoctoral training and postgraduate medical training in Internal Medicine and Endocrinology at UCSF. He is a Fellow of the American College of Physicians and the American College of Medical Informatics and a member of the American Society for Clinical Investigation and Association of American Physicians. Dr. Cohen has received several awards for his work, including a Searle Scholarship, Young Investigator Awards from the Endocrine Society and the Western Society for Clinical Investigation and the LVMH Science pour l’art prize (shared with Stanley Prusiner). Dr. Cohen was elected to the National Academy of Medicine in 2004, and the American Academy of Arts and Sciences in 2008. Dr. Cohen currently serves on the boards of directors of several biotechnology and pharmaceutical organizations, including CareDx, Inc. (Nasdaq: CDNA), Progyny, Inc. (Nasdaq: PGNY) and Intellia Therapeutics, Inc. (Nasdaq: NTLA). He is a past member of the boards of UroGen Pharma Ltd. (Nasdaq: URGN), Quintiles Transnational (merged with IQVIA Holdings (NYSE: IQV)), Biocryst (Nasdaq: BCRX), Genomic Health (acquired by Exact Sciences Corp.) (Nasdaq: GHDX), Tandem Diabetes Care, Inc. (Nasdaq: TNDM), Five Prime Therapeutics, Inc. (Nasdaq: FPRX, acquired by Amgen Inc.), Roka Bioscience, Inc. (Nasdaq: ROKA) and Veracyte, Inc. (Nasdaq: VCYT).</w:t>
      </w:r>
    </w:p>
    <w:p>
      <w:pPr>
        <w:spacing w:after="0" w:line="8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31F20"/>
        </w:rPr>
        <w:t>We believe Dr. Cohen is qualified to serve on our board of directors because of his extensive experience in the biotechnology industry, including providing strategic advice and oversight to biopharmaceutical companies, as well as his financial and medical knowledge and experience.</w:t>
      </w:r>
    </w:p>
    <w:p>
      <w:pPr>
        <w:spacing w:after="0" w:line="5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b w:val="1"/>
          <w:bCs w:val="1"/>
          <w:color w:val="231F20"/>
        </w:rPr>
        <w:t xml:space="preserve">Ian Clark </w:t>
      </w:r>
      <w:r>
        <w:rPr>
          <w:rFonts w:ascii="Times New Roman" w:cs="Times New Roman" w:eastAsia="Times New Roman" w:hAnsi="Times New Roman"/>
          <w:sz w:val="18"/>
          <w:szCs w:val="18"/>
          <w:color w:val="231F20"/>
        </w:rPr>
        <w:t>has served as Chairperson of our board of directors and as a member of our board of directors since September 2021. Mr. Clark has more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than 35 years of experience in the biotechnology and pharmaceutical industry, most recently serving as Chief Executive Officer and member of the board of directors for Genentech, Inc., until his retirement in December 2016. During his seven-year tenure as Chief Executive Officer of Genentech, Mr. Clark and his team brought eleven new medicines to market for patients with rheumatoid arthritis, idiopathic pulmonary fibrosis and various types of cancer. Prior to that, Mr. Clark served as the Executive Vice President and Head of Global Product Strategy of the Roche Group from April 2009 to December 2009. Prior to his time at the Roche Group, Mr. Clark held several senior management positions at Genentech Inc. from January 2003 to March 2009, including Executive Vice President, Commercial Operations and Senior Vice President, General Manager of BioOncology. Prior to joining Genentech, Mr. Clark spent 23 years in the biopharmaceutical industry holding several positions of increasing responsibility at Novartis AG (NYSE: NVS, SIX: NOVN), Sanofi (Nasdaq: SNY), Ivax and Searle, working in the U.S.A, United Kingdom, Canada, Eastern Europe and France. Currently, Mr. Clark is on the board of directors of several public biopharmaceutical and biotechnology companies, including Takeda Pharmaceutical Company Limited (NYSE: TAK), Corvus Pharmaceuticals, Inc. (Nasdaq: CRVS), Guardant Health, Inc. (Nasdaq: GH), Olema Pharmaceuticals, Inc. (Nasdaq: OLMA) and GoodRx Holdings, Inc. (Nasdaq: GDRX). Mr. Clark previously served on the boards of and Avrobio, Inc. (Nasdaq: AVRO), Agios Pharmaceuticals, Inc. (Nasdaq: AGIO), Forty Seven, Inc., Shire Pharmaceuticals, Inc., Kite Pharma, Inc., TerraVia Holdings, Inc., Gyroscope Therapeutics Limited, Dendreon Pharmaceuticals LLC and Vernalis (R&amp;D) Limited. Mr. Clark serves as an advisor to KKR &amp; Co., Inc., and was previously on the Board of Biotechnology Industry Association, on the BioFulcrum Board of the Gladstone Institute and on the Economic Advisory Council of the 12th District of the Federal Reserve. In addition, he served as an advisor to Blackstone Life Sciences, formerly Clarus Ventures, LLC, a</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venture capital firm, from September 2017 to September 2020, as well as to Perella Weinberg Partners LP and Lazard Ltd. Mr. Clark received his Bachelor of Science in Biological Sciences and an Honorary Doctorate of Science from Southampton University in the United Kingdom.</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believe Mr. Clark is qualified to serve on our board of directors because of his vast experience in the biopharmaceutical industry, combined with his experience serving on the boards of directors of successful, high-growth public and private companies.</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color w:val="231F20"/>
        </w:rPr>
        <w:t xml:space="preserve">Christi Shaw </w:t>
      </w:r>
      <w:r>
        <w:rPr>
          <w:rFonts w:ascii="Times New Roman" w:cs="Times New Roman" w:eastAsia="Times New Roman" w:hAnsi="Times New Roman"/>
          <w:sz w:val="18"/>
          <w:szCs w:val="18"/>
          <w:color w:val="231F20"/>
        </w:rPr>
        <w:t>has served as a member of our board of directors since September 2024. Ms. Shaw is a seasoned healthcare executive with over 30</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years of experience in the biopharmaceutical industry. Most recently, she served as Chief Executive Officer of Kite Pharma, Inc., a Gilead company specializing in the development of cancer immunotherapies, from August 2019 to March 2023. Ms. Shaw has served on the board of directors of Beam Therapeutics Inc. (Nasdaq: BEAM) since December 2023, and on the board of directors for ReAlta Life Sciences, Inc. since January 2024. Ms. Shaw also served as a director of Avantor, Inc. (NYSE: AVTR) from November 2018 through May 2024. From April 2017 to August 2019, she served as Senior Vice President of Eli Lilly &amp; Co. (NYSE: LLY), a global healthcare company, and President of Lilly Bio-Medicines, the business within Eli Lilly Company that comprised its neuroscience and immunology divisions. From 2014 to 2016, Ms. Shaw served as U.S. country head and President of Novartis Pharmaceutical Corporation, a global healthcare company, and from 2010 to 2014, as North American region head of Novartis Oncology. Prior to 2010, Ms. Shaw held several leadership positions at Johnson &amp; Johnson, Inc. (NYSE: JNJ). Previously, she served as an executive committee member of the Biotechnology Innovation Organization. Ms. Shaw is also the co-founder of the More Moments More Memories Foundation, which assists people with cancer and their caregivers. Ms. Shaw is also an advisor for Family Reach’s Clinical Trial Access Program which she co-founded with her sister (More Moments More Memories) to assist people with cancer access clinical trials. Ms. Shaw holds a B.B.A. in Marketing from Iowa State University and an M.B.A. from the University of Wisconsin.</w:t>
      </w:r>
    </w:p>
    <w:p>
      <w:pPr>
        <w:spacing w:after="0" w:line="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231F20"/>
        </w:rPr>
        <w:t>We believe that Ms. Shaw is qualified to serve on our board of directors because of her extensive experience in executive positions with several biopharmaceutical companies and her experience serving on the boards of several life science companies.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231F20"/>
        </w:rPr>
        <w:t xml:space="preserve">Steve Liapis, Ph.D. </w:t>
      </w:r>
      <w:r>
        <w:rPr>
          <w:rFonts w:ascii="Times New Roman" w:cs="Times New Roman" w:eastAsia="Times New Roman" w:hAnsi="Times New Roman"/>
          <w:sz w:val="18"/>
          <w:szCs w:val="18"/>
          <w:color w:val="231F20"/>
        </w:rPr>
        <w:t>has served as a member of our board of directors since November 2022. Dr. Liapis is a Managing Director at Northpond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Ventures where he focuses on biotechnology platforms and therapeutics and leads Northpond’s newco incubation efforts with the Wyss Institute at Harvard and the School of Engineering at MIT. Dr. Liapis is a board director at Garuda Therapeutics, Inc., Incendia Therapeutics, Inc., Totus Medicines, Inc., Opna Bio LLC, Aro Biotherapeutics Company, and Weaver Biosciences, Inc. Previously, Dr. Liapis was Director of Portfolio Decision Resources at Sanofi (Nasdaq: SNY), where he led global strategy and resource prioritization for Sanofi Oncology. Prior to Sanofi, Dr. Liapis was Head of Strategy at Arbor Biotechnologies and served in leadership positions at L.E.K. Consulting where he focused on research and development and commercial strategy for immuno-oncology, as well as advanced therapeutic modalities including gene therapy, gene editing and cell therapy. Dr. Liapis holds a Ph.D. in molecular biology from Harvard University where he trained in the laboratory of Dr. John Rinn, focusing on the discovery and molecular characterization of novel long noncoding RNAs (lncRNAs), as well as identifying the role of lncRNAs in disease pathogenesis. He also holds a Master’s Degree in genetics and plant biology from Yale University and an undergraduate degree in environmental science from Stockton College.</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231F20"/>
        </w:rPr>
        <w:t>We believe Dr. Liapis is qualified to serve on our board of directors because of his vast experience in biotechnology platforms and therapeutics and focus on the areas of global, research and development and commercial strategy.</w:t>
      </w:r>
    </w:p>
    <w:p>
      <w:pPr>
        <w:spacing w:after="0" w:line="5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b w:val="1"/>
          <w:bCs w:val="1"/>
          <w:color w:val="231F20"/>
        </w:rPr>
        <w:t xml:space="preserve">Warner Biddle </w:t>
      </w:r>
      <w:r>
        <w:rPr>
          <w:rFonts w:ascii="Times New Roman" w:cs="Times New Roman" w:eastAsia="Times New Roman" w:hAnsi="Times New Roman"/>
          <w:sz w:val="18"/>
          <w:szCs w:val="18"/>
          <w:color w:val="231F20"/>
        </w:rPr>
        <w:t>has served as our Chief Executive Officer and a member of our board of directors since September 2024. Mr. Biddle previously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worked at Kite Pharma, Inc. from August 2020 to September 2024, where he served as Senior Vice President and Global Head of Commercial. Prior to that, Mr. Biddle served as Vice President and Franchise Head for the Breast/Gynecologic and Skin Cancer Franchises at Genentech from January 2018 to August 2020. During his prolific tenure, he led the cross-functional strategy and launches for several key commercial and pipeline products while driving significant portfolio growth. Prior to his oncology roles, Mr. Biddle served as Vice President, Sales and Marketing for Ophthalmology at Genentech from November 2013 to December 2015, and also held various global leadership roles in Europe and Canada across multiple therapeutic disease areas at Novartis and GlaxoSmithKline. Mr. Biddle earned a Bachelor’s Degree in Commerce with Honors from the University of Saskatchewan.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8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231F20"/>
        </w:rPr>
        <w:t>We believe that Mr. Biddle is qualified to serve as a member of our Board due to his extensive experience as an executive in the biopharmaceutical industry across numerous therapeutic areas.</w:t>
      </w:r>
    </w:p>
    <w:p>
      <w:pPr>
        <w:spacing w:after="0" w:line="5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b w:val="1"/>
          <w:bCs w:val="1"/>
          <w:color w:val="231F20"/>
        </w:rPr>
        <w:t xml:space="preserve">Mert Aktar </w:t>
      </w:r>
      <w:r>
        <w:rPr>
          <w:rFonts w:ascii="Times New Roman" w:cs="Times New Roman" w:eastAsia="Times New Roman" w:hAnsi="Times New Roman"/>
          <w:sz w:val="18"/>
          <w:szCs w:val="18"/>
          <w:color w:val="231F20"/>
        </w:rPr>
        <w:t>has served as a member of our board of directors since October 2024. Mr. Aktar is an accomplished life sciences industry executive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with over twenty years of multinational experience in bridging science and business in pharmaceuticals and biotechnology. He has served as Chief Executive Officer of Receptive Bio, Inc., a privately held biotechnology company based in Southern California, since February 2024. Prior to joining Receptive Bio, Inc., Mr. Aktar was the Senior Vice President and Global Head of Corporate Development &amp; Strategy at Kite Pharma, Inc., from April 2020 to September 2023, where he played a key leadership role in shaping the future direction of Kite and establishing it as a global leader in cell therapy. Mr. Aktar led numerous deals strengthening Kite’s R&amp;D portfolio, including expansion in Asia, facilitating regulatory approval and commercial launch of the first autologous cell therapy product in China, and transfer of commercial rights from Daiichi Sankyo and regulatory approval and commercial launch of Yescarta in Japan. Prior to joining Kite, Mr. Aktar served as Vice President and Head of Business Development and Corporate Development at Unum Therapeutics Inc. from May 2019 to March 2020. Prior to that, Mr. Aktar held a number of senior leadership positions at Shire plc (now Takeda Pharmaceutical Company Limited) from April 2011 to May 2019, most recently serving as the Global Head of Hematology and Immunology Business Development from November 2017 to May 2019. While at Shire, Mr. Aktar facilitated the company’s acquisitions of Baxalta Inc. and Dyax Corp., and orchestrated Shire’s inaugural SEC-registered debt offering. Mr. Aktar held senior leadership positions at large biotech and pharma organizations across diverse modalities (cell therapy, gene therapy, nucleotide-based therapies, antibody therapeutics and small molecules) and therapeutic areas (oncology, hematology, immunology, rare genetic diseases and neuroscience). Mr. Aktar has served on the board of directors of ReAlta Life Sciences, Inc. since January 2024. Mr. Aktar holds an MBA from MIT Sloan School of Management, a B.S. in Chemical Engineering from Worcester Polytechnic Institute, and an M.S. in Engineering Management from Tufts University.</w:t>
      </w:r>
    </w:p>
    <w:p>
      <w:pPr>
        <w:spacing w:after="0" w:line="9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231F20"/>
        </w:rPr>
        <w:t>We believe that Mr. Aktar is qualified to serve as a member of our board of directors due to his education and extensive experience as an executive officer in the biopharmaceutical and biotechnology industries.</w:t>
      </w:r>
    </w:p>
    <w:p>
      <w:pPr>
        <w:spacing w:after="0" w:line="5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b w:val="1"/>
          <w:bCs w:val="1"/>
          <w:color w:val="231F20"/>
        </w:rPr>
        <w:t xml:space="preserve">Daniel K. Spiegelman </w:t>
      </w:r>
      <w:r>
        <w:rPr>
          <w:rFonts w:ascii="Times New Roman" w:cs="Times New Roman" w:eastAsia="Times New Roman" w:hAnsi="Times New Roman"/>
          <w:sz w:val="18"/>
          <w:szCs w:val="18"/>
          <w:color w:val="231F20"/>
        </w:rPr>
        <w:t>has served as a member of our board of directors since April 2021. Mr. Spiegelman has over 25 years of biotech finance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experience. Mr. Spiegelman was most recently Chief Financial Officer and Executive Vice President of BioMarin Pharmaceutical Inc. (Nasdaq: BMRN), a biotechnology company focused on developing, manufacturing and commercializing treatments for rare genetic disorders, from 2012 to 2020. Mr. Spiegelman oversaw growth from $500M to $2.0B in revenues with sales in 70 countries and from $4B to $15B market cap. Prior to BioMarin, Mr. Spiegelman served as Chief Financial Officer and Senior Vice President of CV Therapeutics, Inc. for 11 years from 1998 through its sale in 2009 to Gilead Sciences, Inc. (Nasdaq: GILD). From July 1991 to January 1998, Mr. Spiegelman served in various roles at Genentech, Inc. (now a member of the Roche Group), most recently as Treasurer. Mr. Spiegelman currently provides consulting and board services to various life sciences companies. He currently serves as a member of the board of directors and audit committee chair of Spruce Biosciences, Inc. (Nasdaq: SPRB), Maze Therapeutics Inc. (Nasdaq: MAZE) and vTv Therapeutics Inc. (Nasdaq: VTVT), and serves on the boards of directors of several private biotechnology companies, including Tizona Therapeutics, Inc. and Bluejay Therapeutics, Inc. From 2020 to 2024, he served as a member of the board of directors of Myriad Genetics, Inc. (Nasdaq: MYGN), and from 2020 to 2024, he served as a member of the board of directors of Opthea Limited (Nasdaq: OPT). Mr. Spiegelman also serves as venture partner at Samsara BioCapital. Mr. Spiegelman received his Master’s in Business Administration from the Stanford Graduate School of Business and a Bachelor’s in Economics from Stanford University.</w:t>
      </w:r>
    </w:p>
    <w:p>
      <w:pPr>
        <w:spacing w:after="0" w:line="8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231F20"/>
        </w:rPr>
        <w:t>We believe Mr. Spiegelman is qualified to serve on our board of directors because of his important expertise in finance in the healthcare industry based on his extensive experience in several senior finance positions at major pharmaceutical companies.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March 25, 2025:</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Name</w:t>
            </w:r>
          </w:p>
        </w:tc>
        <w:tc>
          <w:tcPr>
            <w:tcW w:w="12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231F20"/>
              </w:rPr>
              <w:t>Age</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231F20"/>
              </w:rPr>
              <w:t>Position(s)</w:t>
            </w: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231F20"/>
              </w:rPr>
              <w:t>Warner Biddle. . . . . . . . . . . . . . . . . . . . . . . . . . . . . . .</w:t>
            </w:r>
          </w:p>
        </w:tc>
        <w:tc>
          <w:tcPr>
            <w:tcW w:w="12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231F20"/>
              </w:rPr>
              <w:t>58</w:t>
            </w:r>
          </w:p>
        </w:tc>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231F20"/>
              </w:rPr>
              <w:t>Chief Executive Officer and Director</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Ryan Jones  . . . . . . . . . . . . . . . . . . . . . . . . . . . . . . . . .</w:t>
            </w:r>
          </w:p>
        </w:tc>
        <w:tc>
          <w:tcPr>
            <w:tcW w:w="1280" w:type="dxa"/>
            <w:vAlign w:val="bottom"/>
          </w:tcPr>
          <w:p>
            <w:pPr>
              <w:ind w:left="840"/>
              <w:spacing w:after="0"/>
              <w:rPr>
                <w:sz w:val="20"/>
                <w:szCs w:val="20"/>
                <w:color w:val="auto"/>
              </w:rPr>
            </w:pPr>
            <w:r>
              <w:rPr>
                <w:rFonts w:ascii="Times New Roman" w:cs="Times New Roman" w:eastAsia="Times New Roman" w:hAnsi="Times New Roman"/>
                <w:sz w:val="18"/>
                <w:szCs w:val="18"/>
                <w:color w:val="231F20"/>
              </w:rPr>
              <w:t>38</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Chief Financial Officer</w:t>
            </w: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231F20"/>
              </w:rPr>
              <w:t>Karen Walker . . . . . . . . . . . . . . . . . . . . . . . . . . . . . . .</w:t>
            </w:r>
          </w:p>
        </w:tc>
        <w:tc>
          <w:tcPr>
            <w:tcW w:w="12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231F20"/>
              </w:rPr>
              <w:t>64</w:t>
            </w:r>
          </w:p>
        </w:tc>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231F20"/>
              </w:rPr>
              <w:t>Chief Technology Officer</w:t>
            </w: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Naji H. Gehchan, M.D. . . . . . . . . . . . . . . . . . . . . . . . .</w:t>
            </w:r>
          </w:p>
        </w:tc>
        <w:tc>
          <w:tcPr>
            <w:tcW w:w="1280" w:type="dxa"/>
            <w:vAlign w:val="bottom"/>
          </w:tcPr>
          <w:p>
            <w:pPr>
              <w:ind w:left="840"/>
              <w:spacing w:after="0"/>
              <w:rPr>
                <w:sz w:val="20"/>
                <w:szCs w:val="20"/>
                <w:color w:val="auto"/>
              </w:rPr>
            </w:pPr>
            <w:r>
              <w:rPr>
                <w:rFonts w:ascii="Times New Roman" w:cs="Times New Roman" w:eastAsia="Times New Roman" w:hAnsi="Times New Roman"/>
                <w:sz w:val="18"/>
                <w:szCs w:val="18"/>
                <w:color w:val="231F20"/>
              </w:rPr>
              <w:t>43</w:t>
            </w: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Chief Medical and Development Officer</w:t>
            </w:r>
          </w:p>
        </w:tc>
      </w:tr>
    </w:tbl>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 xml:space="preserve">Warner Biddle </w:t>
      </w:r>
      <w:r>
        <w:rPr>
          <w:rFonts w:ascii="Times New Roman" w:cs="Times New Roman" w:eastAsia="Times New Roman" w:hAnsi="Times New Roman"/>
          <w:sz w:val="18"/>
          <w:szCs w:val="18"/>
          <w:color w:val="231F20"/>
        </w:rPr>
        <w:t>B</w:t>
      </w:r>
      <w:r>
        <w:rPr>
          <w:rFonts w:ascii="Times New Roman" w:cs="Times New Roman" w:eastAsia="Times New Roman" w:hAnsi="Times New Roman"/>
          <w:sz w:val="18"/>
          <w:szCs w:val="18"/>
          <w:color w:val="000000"/>
        </w:rPr>
        <w:t>iographical information regarding Warner Biddle is set forth above under “Board of Directors”</w:t>
      </w:r>
      <w:r>
        <w:rPr>
          <w:rFonts w:ascii="Times New Roman" w:cs="Times New Roman" w:eastAsia="Times New Roman" w:hAnsi="Times New Roman"/>
          <w:sz w:val="18"/>
          <w:szCs w:val="18"/>
          <w:color w:val="231F20"/>
        </w:rPr>
        <w:t>.</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b w:val="1"/>
          <w:bCs w:val="1"/>
          <w:color w:val="231F20"/>
        </w:rPr>
        <w:t xml:space="preserve">Ryan Jones </w:t>
      </w:r>
      <w:r>
        <w:rPr>
          <w:rFonts w:ascii="Times New Roman" w:cs="Times New Roman" w:eastAsia="Times New Roman" w:hAnsi="Times New Roman"/>
          <w:sz w:val="18"/>
          <w:szCs w:val="18"/>
          <w:color w:val="231F20"/>
        </w:rPr>
        <w:t>has served as our Chief Financial Officer since January 2023. Mr. Jones joined Kyverna’s founding team in 2018 and brings extensive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industry experience in healthcare and life sciences. Prior to joining Kyverna, Mr. Jones was on the New Business Creation team at GE Ventures, where he focused on launching and financing new companies in cell engineering and healthcare technologies. Before joining GE Ventures, Mr. Jones led the technical development and launch of multiple next-generation DNA sequencing products as a Staff Engineer at Thermo Fisher Scientific Inc. (Life Technologies, Ion Torrent division) (NYSE: TMO). Prior to that, he was a Staff Scientist on the founding team at Nanosense, a DARPA funded biosensor company. Mr. Jones is a co-inventor on five issued patents in biosensors and DNA sequencing. He has also served as a board observer for multiple companies founded by GE Ventures, including Menlo Microsystems, Inc., Drawbridge Health, Inc. (acquired by Thorne Health) and Evidation Health, Inc. Mr. Jones holds a Bachelor’s degree in Biophysics and History from the University of Pennsylvania and an MBA from Harvard Business School.</w:t>
      </w:r>
    </w:p>
    <w:p>
      <w:pPr>
        <w:spacing w:after="0" w:line="7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b w:val="1"/>
          <w:bCs w:val="1"/>
          <w:color w:val="231F20"/>
        </w:rPr>
        <w:t xml:space="preserve">Karen Walker </w:t>
      </w:r>
      <w:r>
        <w:rPr>
          <w:rFonts w:ascii="Times New Roman" w:cs="Times New Roman" w:eastAsia="Times New Roman" w:hAnsi="Times New Roman"/>
          <w:sz w:val="18"/>
          <w:szCs w:val="18"/>
          <w:color w:val="231F20"/>
        </w:rPr>
        <w:t>has served as our Chief Technology Officer since September 2021. Ms. Walker has broad and deep industry experience developing</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biopharmaceuticals and cell and gene therapy, or CGT products. She brings extensive and pioneering expertise in the product development, manufacturing and supply of cell-based therapies and associated analytics. Ms. Walker has several decades of biotech industry experience, holding positions in Technical Development, Regulatory Affairs and Quality at a number of companies including Roche Holding AG (SIX: ROG), Genentech, Inc., Seagen Inc., formerly Seattle Genetics (Nasdaq: SGEN), Novartis AG (NYSE: NVS, SIX: NOVN), Amgen Inc. (Nasdaq: AMGN), Bayer AG (FWB: BAYN), Bristol-Myers Squibb Company (NYSE: BMY) and several other small to mid-sized biotech companies. Prior to joining Kyverna, Ms. Walker was a Senior Advisor, Cell and Gene Therapy Manufacturing at Roche/Genentech from 2019 to 2021. In this position, she was instrumental in developing and implementing the strategy for CGT manufacturing and controls into the Roche/Genentech organization. Prior to Roche/Genentech, Ms. Walker was Vice President of Global Quality at Seagen Inc., where she oversaw and directed the Global Quality Organization in the United States and Europe from 2017 to 2019. Previously, she was Vice President and Global Head of Cell and Gene Therapy Technical Development and Manufacturing for Novartis’ CGT Unit from 2016 to 2017. There, she led the Chemistry, Manufacturing, and Controls teams through the formation of the strategies and execution of those strategies to develop KYMRIAH® (tisagenlecleucel) through the pivotal trial stage and to filing of the first CAR-T Biologics License Application in pediatric acute lymphoblastic leukemia. During her time at Novartis and continuing to the present, Ms. Walker has been a strong and leading voice in the establishment of industry standardization and contributed to influence emerging regulatory guidance in the area of CGT products globally. Ms. Walker holds a Bachelor’s degree from St. Olaf College. She is a member of numerous pharmaceutical industry trade organizations, including the Alliance for Regenerative Medicines Cell Therapy Manufacturing Committee, Deloitte Industry Working Group for Advanced Therapy Medicinal Products, or ATMPs, Parenteral Drug Association, or PDA, PDA Biologics Advisory Board, where she was vice chair from 2018 to 2020, and the PDA ATMP Working Group.</w:t>
      </w:r>
    </w:p>
    <w:p>
      <w:pPr>
        <w:spacing w:after="0" w:line="85"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color w:val="231F20"/>
        </w:rPr>
        <w:t xml:space="preserve">Naji H. Gehchan, M.D. </w:t>
      </w:r>
      <w:r>
        <w:rPr>
          <w:rFonts w:ascii="Times New Roman" w:cs="Times New Roman" w:eastAsia="Times New Roman" w:hAnsi="Times New Roman"/>
          <w:sz w:val="18"/>
          <w:szCs w:val="18"/>
          <w:color w:val="231F20"/>
        </w:rPr>
        <w:t>has served as our Chief Medical Officer since January 2025. Dr. Gehchan is an accomplished biopharmaceutical physician-executive with extensive experience in drug development, commercialization and general management. Most recently, Dr. Gehchan served as Head of Clinical Development Oncology for imlunestrant at Eli Lilly &amp; Co. (NYSE: LLY), from April 2021 to January 2025. In this role, he built and led high-performing teams to advance with agility and speed Eli Lilly’s next-generation oral SERD from Phase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8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231F20"/>
        </w:rPr>
        <w:t>1 to global submission. Dr. Gehchan joined Eli Lilly in October 2008, holding various leadership roles across geographies and functions. From September 2019 to April 2021, he served as Associate Vice President of Sales on the U.S. Diabetes Leadership Team. Previously, he served as Chief Marketing Officer and Business Unit Head, BioMedicines, from August 2015 to September 2019, leading the launches of Eli Lilly’s immunology portfolio across France and other European countries. Prior to joining Eli Lilly, he worked at Johnson &amp; Johnson as a Medical Advisor, Internal Medicine &amp; Health Economics from April 2008 to October 2008. Dr. Gehchan also served as an Attending Physician and Resident in internal medicine at Hotel-Dieu de France and CHU Montpellier from June 2005 to June 2007. In addition to his professional career, Dr. Gehchan has been a Faculty Mentor and Guest Lecturer at MIT Sloan since 2023, and a Lecturer in Leadership and Management at ESCP Business School since 2019. Dr. Gehchan earned his Doctor of Medicine in 2006, and Masters in Biological Sciences (Genetics and Immunology) in 2004 from Saint Joseph University of Beirut, a Specialized Masters in Healthcare Management from ESCP Business School in 2009, and an Executive Master of Business Administration from the Massachusetts Institute of Technology Sloan in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family relationships between or among any of our executive officers or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with Directors or Executive Officers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Refer to the disclosure in Part I Item 3 under the heading “Legal Proceedings” in this Annual Report on Form 10-K regarding a shareholder class action complaint that was filed against certain of our current and former officers and directors, including Mr. Jones, Ms. Walker, Mr. Clark, Dr. Cohen, Mr. Liapis, Dr. Seidenberg and Mr. Spiegelman, in December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including those officers responsible for financial reporting. The code of business conduct and ethics is available on our website at https://ir.kyvernatx.com/corporate-governance/governance-overview.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Business Conduct and Ethics that is granted to one of these specified officers, the name of such person who is granted the waiver and the date of the waiver on our website in the future to the extent required by the applicable rules and exchange requirements. The inclusion of our website address in this Annual Report on Form 10-K does not incorporate by reference the information on or accessible through our website into this Annual Report on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of directors from those that were described in our final prospectus filed pursuant to Rule 424(b)(4) under the Securities Act with the SEC on February 8,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Our Audit Committee is currently comprised of Daniel K. Spiegelman, Mert Aktar and Steve Liapis, Ph.D., with Mr. Spiegelman serving as Chairperson of the Audit Committee. Our board of directors has determined that each member of the Audit Committee is “independent” and “financially literate” under the rules of The Nasdaq Stock Market LLC, or Nasdaq, and the SEC and that Mr. Spiegelman is an “audit committee financial expert” under the rules of the SEC. Both our independent registered public accounting firm and internal financial personnel regularly meet privately with our Audit Committee and have unrestricted access to the Audit Committee. The information under the heading “Board Independence” in Item 13 below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certain officers, as well as persons who beneficially own more than 10% of the outstanding shares of our common stock, to file reports regarding their initial stock ownership and subsequent changes to their ownership with the SEC.</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SEC regulations require us to identify in this Annual Report on Form 10-K anyone who failed to file a timely required report during the most recent fiscal year. Based solely upon our review of forms we received, or written representations from reporting persons stating that they were not required to file these forms, we believe that during our fiscal year ended December 31, 2024, all Section 16(a) filing requirements were satisfied on a timely basis, except for: (a) the Form 3 for Dr. Liapis that was due on February 7, 2024, the date the registration statement for our IPO was declared effective by the SEC, which was inadvertently filed one day late on February 8, 2024, due to an unexpected delay by the financial printer that we used to file the Section 16(a) forms in connection with our IPO; and (b) the Form 4 filed to report the initial option award granted to Mr. Aktar in connection with his appointment to our board of directors on October 21, 2024, which was inadvertently filed one day late on October 24, 2024.</w:t>
      </w:r>
    </w:p>
    <w:p>
      <w:pPr>
        <w:spacing w:after="0" w:line="200" w:lineRule="exact"/>
        <w:rPr>
          <w:sz w:val="20"/>
          <w:szCs w:val="20"/>
          <w:color w:val="auto"/>
        </w:rPr>
      </w:pPr>
    </w:p>
    <w:p>
      <w:pPr>
        <w:spacing w:after="0" w:line="201" w:lineRule="exact"/>
        <w:rPr>
          <w:sz w:val="20"/>
          <w:szCs w:val="20"/>
          <w:color w:val="auto"/>
        </w:rPr>
      </w:pPr>
    </w:p>
    <w:p>
      <w:pPr>
        <w:ind w:right="9000" w:firstLine="8"/>
        <w:spacing w:after="0" w:line="400" w:lineRule="auto"/>
        <w:tabs>
          <w:tab w:leader="none" w:pos="27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Executive Compensation. Executive Compensation</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231F20"/>
        </w:rPr>
        <w:t>Our named executive officers, or NEOs, for the year ended December 31, 2024, are:</w:t>
      </w:r>
    </w:p>
    <w:p>
      <w:pPr>
        <w:spacing w:after="0" w:line="238" w:lineRule="exact"/>
        <w:rPr>
          <w:rFonts w:ascii="Times New Roman" w:cs="Times New Roman" w:eastAsia="Times New Roman" w:hAnsi="Times New Roman"/>
          <w:sz w:val="17"/>
          <w:szCs w:val="17"/>
          <w:b w:val="1"/>
          <w:bCs w:val="1"/>
          <w:color w:val="auto"/>
        </w:rPr>
      </w:pPr>
    </w:p>
    <w:p>
      <w:pPr>
        <w:ind w:left="900" w:hanging="359"/>
        <w:spacing w:after="0"/>
        <w:tabs>
          <w:tab w:leader="none" w:pos="900" w:val="left"/>
        </w:tabs>
        <w:numPr>
          <w:ilvl w:val="1"/>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Warner Biddle, our current Chief Executive Officer;</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1"/>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Peter Maag, Ph.D., our former Chief Executive Officer;</w:t>
      </w:r>
    </w:p>
    <w:p>
      <w:pPr>
        <w:spacing w:after="0" w:line="117" w:lineRule="exact"/>
        <w:rPr>
          <w:rFonts w:ascii="Times New Roman" w:cs="Times New Roman" w:eastAsia="Times New Roman" w:hAnsi="Times New Roman"/>
          <w:sz w:val="18"/>
          <w:szCs w:val="18"/>
          <w:color w:val="231F20"/>
        </w:rPr>
      </w:pPr>
    </w:p>
    <w:p>
      <w:pPr>
        <w:ind w:left="1020" w:right="240" w:hanging="479"/>
        <w:spacing w:after="0" w:line="282" w:lineRule="auto"/>
        <w:tabs>
          <w:tab w:leader="none" w:pos="895" w:val="left"/>
        </w:tabs>
        <w:numPr>
          <w:ilvl w:val="1"/>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Dominic Borie, M.D., Ph.D., our former President, Research and Development and current Strategic Advisor to the Chief Executive Officer and Board</w:t>
      </w:r>
      <w:r>
        <w:rPr>
          <w:rFonts w:ascii="Times New Roman" w:cs="Times New Roman" w:eastAsia="Times New Roman" w:hAnsi="Times New Roman"/>
          <w:sz w:val="18"/>
          <w:szCs w:val="18"/>
          <w:color w:val="231F20"/>
        </w:rPr>
        <w:t>;</w:t>
      </w:r>
    </w:p>
    <w:p>
      <w:pPr>
        <w:spacing w:after="0" w:line="53"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1"/>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Karen Walker, our current Chief Technology Officer; and</w:t>
      </w:r>
    </w:p>
    <w:p>
      <w:pPr>
        <w:spacing w:after="0" w:line="117" w:lineRule="exact"/>
        <w:rPr>
          <w:rFonts w:ascii="Times New Roman" w:cs="Times New Roman" w:eastAsia="Times New Roman" w:hAnsi="Times New Roman"/>
          <w:sz w:val="18"/>
          <w:szCs w:val="18"/>
          <w:color w:val="231F20"/>
        </w:rPr>
      </w:pPr>
    </w:p>
    <w:p>
      <w:pPr>
        <w:ind w:left="900" w:hanging="359"/>
        <w:spacing w:after="0"/>
        <w:tabs>
          <w:tab w:leader="none" w:pos="900" w:val="left"/>
        </w:tabs>
        <w:numPr>
          <w:ilvl w:val="1"/>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James Chung, M.D., Ph.D. our former Chief Medical Officer.</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Mr. Biddle commenced service with us as our Chief Executive Officer in September 2024. Dr. Borie transitioned to his role as our Strategic Advisor to the Chief Executive Officer and Board effective January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sets forth certain information with respect to the compensation paid to our named executive officers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December 31, 2024 and 2023:</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3"/>
                <w:szCs w:val="13"/>
                <w:color w:val="auto"/>
              </w:rPr>
            </w:pPr>
          </w:p>
        </w:tc>
        <w:tc>
          <w:tcPr>
            <w:tcW w:w="13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9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3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ind w:right="34"/>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11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5"/>
                <w:szCs w:val="15"/>
                <w:color w:val="auto"/>
              </w:rPr>
            </w:pPr>
          </w:p>
        </w:tc>
        <w:tc>
          <w:tcPr>
            <w:tcW w:w="12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Warner Biddle</w:t>
            </w:r>
          </w:p>
        </w:tc>
        <w:tc>
          <w:tcPr>
            <w:tcW w:w="620" w:type="dxa"/>
            <w:vAlign w:val="bottom"/>
            <w:tcBorders>
              <w:bottom w:val="single" w:sz="8" w:color="CFF0FC"/>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182,292</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13,760,605</w:t>
            </w:r>
          </w:p>
        </w:tc>
        <w:tc>
          <w:tcPr>
            <w:tcW w:w="1580" w:type="dxa"/>
            <w:vAlign w:val="bottom"/>
            <w:tcBorders>
              <w:bottom w:val="single" w:sz="8" w:color="CFF0FC"/>
            </w:tcBorders>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375,000</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(4)</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14,992,896</w:t>
            </w: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Peter Maag, Ph.D.</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786,466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694,764</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1,481,230</w:t>
            </w:r>
          </w:p>
        </w:tc>
        <w:tc>
          <w:tcPr>
            <w:tcW w:w="0" w:type="dxa"/>
            <w:vAlign w:val="bottom"/>
          </w:tcPr>
          <w:p>
            <w:pPr>
              <w:spacing w:after="0"/>
              <w:rPr>
                <w:sz w:val="1"/>
                <w:szCs w:val="1"/>
                <w:color w:val="auto"/>
              </w:rPr>
            </w:pPr>
          </w:p>
        </w:tc>
      </w:tr>
      <w:tr>
        <w:trPr>
          <w:trHeight w:val="50"/>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Former Chief Executive Officer</w:t>
            </w:r>
            <w:r>
              <w:rPr>
                <w:rFonts w:ascii="Times New Roman" w:cs="Times New Roman" w:eastAsia="Times New Roman" w:hAnsi="Times New Roman"/>
                <w:sz w:val="19"/>
                <w:szCs w:val="19"/>
                <w:i w:val="1"/>
                <w:iCs w:val="1"/>
                <w:color w:val="auto"/>
                <w:vertAlign w:val="superscript"/>
              </w:rPr>
              <w:t>(6)</w:t>
            </w:r>
          </w:p>
        </w:tc>
        <w:tc>
          <w:tcPr>
            <w:tcW w:w="6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vMerge w:val="continue"/>
          </w:tcPr>
          <w:p>
            <w:pPr>
              <w:spacing w:after="0"/>
              <w:rPr>
                <w:sz w:val="16"/>
                <w:szCs w:val="16"/>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438,875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247,500</w:t>
            </w: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1,554,197</w:t>
            </w:r>
          </w:p>
        </w:tc>
        <w:tc>
          <w:tcPr>
            <w:tcW w:w="158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23,617</w:t>
            </w:r>
          </w:p>
        </w:tc>
        <w:tc>
          <w:tcPr>
            <w:tcW w:w="420" w:type="dxa"/>
            <w:vAlign w:val="bottom"/>
            <w:vMerge w:val="continue"/>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2,264,189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Dominic Borie, M.D., Ph.D.</w:t>
            </w:r>
          </w:p>
        </w:tc>
        <w:tc>
          <w:tcPr>
            <w:tcW w:w="6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147,840</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587,840</w:t>
            </w:r>
          </w:p>
        </w:tc>
        <w:tc>
          <w:tcPr>
            <w:tcW w:w="0" w:type="dxa"/>
            <w:vAlign w:val="bottom"/>
          </w:tcPr>
          <w:p>
            <w:pPr>
              <w:spacing w:after="0"/>
              <w:rPr>
                <w:sz w:val="1"/>
                <w:szCs w:val="1"/>
                <w:color w:val="auto"/>
              </w:rPr>
            </w:pPr>
          </w:p>
        </w:tc>
      </w:tr>
      <w:tr>
        <w:trPr>
          <w:trHeight w:val="121"/>
        </w:trPr>
        <w:tc>
          <w:tcPr>
            <w:tcW w:w="258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i w:val="1"/>
                <w:iCs w:val="1"/>
                <w:color w:val="auto"/>
              </w:rPr>
              <w:t>Former President, Research and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i w:val="1"/>
                <w:iCs w:val="1"/>
                <w:color w:val="auto"/>
              </w:rPr>
              <w:t>Development</w:t>
            </w:r>
            <w:r>
              <w:rPr>
                <w:rFonts w:ascii="Times New Roman" w:cs="Times New Roman" w:eastAsia="Times New Roman" w:hAnsi="Times New Roman"/>
                <w:sz w:val="19"/>
                <w:szCs w:val="19"/>
                <w:i w:val="1"/>
                <w:iCs w:val="1"/>
                <w:color w:val="auto"/>
                <w:vertAlign w:val="superscript"/>
              </w:rPr>
              <w:t>(8)</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Karen Walker</w:t>
            </w:r>
          </w:p>
        </w:tc>
        <w:tc>
          <w:tcPr>
            <w:tcW w:w="62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440,000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151,360</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591,360</w:t>
            </w:r>
          </w:p>
        </w:tc>
        <w:tc>
          <w:tcPr>
            <w:tcW w:w="0" w:type="dxa"/>
            <w:vAlign w:val="bottom"/>
          </w:tcPr>
          <w:p>
            <w:pPr>
              <w:spacing w:after="0"/>
              <w:rPr>
                <w:sz w:val="1"/>
                <w:szCs w:val="1"/>
                <w:color w:val="auto"/>
              </w:rPr>
            </w:pPr>
          </w:p>
        </w:tc>
      </w:tr>
      <w:tr>
        <w:trPr>
          <w:trHeight w:val="19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Technology Officer</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387,899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150,150</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520,502</w:t>
            </w:r>
          </w:p>
        </w:tc>
        <w:tc>
          <w:tcPr>
            <w:tcW w:w="1580" w:type="dxa"/>
            <w:vAlign w:val="bottom"/>
            <w:gridSpan w:val="2"/>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23,593</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1,082,144</w:t>
            </w:r>
          </w:p>
        </w:tc>
        <w:tc>
          <w:tcPr>
            <w:tcW w:w="0" w:type="dxa"/>
            <w:vAlign w:val="bottom"/>
          </w:tcPr>
          <w:p>
            <w:pPr>
              <w:spacing w:after="0"/>
              <w:rPr>
                <w:sz w:val="1"/>
                <w:szCs w:val="1"/>
                <w:color w:val="auto"/>
              </w:rPr>
            </w:pPr>
          </w:p>
        </w:tc>
      </w:tr>
      <w:tr>
        <w:trPr>
          <w:trHeight w:val="214"/>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James Chung, M.D., Ph.D.</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404,576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624,576</w:t>
            </w:r>
          </w:p>
        </w:tc>
        <w:tc>
          <w:tcPr>
            <w:tcW w:w="0" w:type="dxa"/>
            <w:vAlign w:val="bottom"/>
          </w:tcPr>
          <w:p>
            <w:pPr>
              <w:spacing w:after="0"/>
              <w:rPr>
                <w:sz w:val="1"/>
                <w:szCs w:val="1"/>
                <w:color w:val="auto"/>
              </w:rPr>
            </w:pPr>
          </w:p>
        </w:tc>
      </w:tr>
      <w:tr>
        <w:trPr>
          <w:trHeight w:val="24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Former Chief Medical Officer</w:t>
            </w:r>
            <w:r>
              <w:rPr>
                <w:rFonts w:ascii="Times New Roman" w:cs="Times New Roman" w:eastAsia="Times New Roman" w:hAnsi="Times New Roman"/>
                <w:sz w:val="19"/>
                <w:szCs w:val="19"/>
                <w:i w:val="1"/>
                <w:iCs w:val="1"/>
                <w:color w:val="auto"/>
                <w:vertAlign w:val="superscript"/>
              </w:rPr>
              <w:t>(9)</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401,995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152,982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520,502</w:t>
            </w:r>
          </w:p>
        </w:tc>
        <w:tc>
          <w:tcPr>
            <w:tcW w:w="15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90,643</w:t>
            </w:r>
          </w:p>
        </w:tc>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-1146175</wp:posOffset>
            </wp:positionV>
            <wp:extent cx="697801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7801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697801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780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7" w:name="page138"/>
    <w:bookmarkEnd w:id="137"/>
    <w:p>
      <w:pPr>
        <w:ind w:right="80" w:firstLine="8"/>
        <w:spacing w:after="0" w:line="255" w:lineRule="auto"/>
        <w:tabs>
          <w:tab w:leader="none" w:pos="34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in this column represent the aggregate grant date fair value of the option awards computed in accordance with Accounting Standards Codification Topic 718. Assumptions used in the calculation of these amounts are included in Note 10 to our audited financial statements and related notes included in Part II, Item 8 of this Annual Report on Form 10-K.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2" w:lineRule="exact"/>
        <w:rPr>
          <w:rFonts w:ascii="Times New Roman" w:cs="Times New Roman" w:eastAsia="Times New Roman" w:hAnsi="Times New Roman"/>
          <w:sz w:val="18"/>
          <w:szCs w:val="18"/>
          <w:color w:val="231F20"/>
        </w:rPr>
      </w:pPr>
    </w:p>
    <w:p>
      <w:pPr>
        <w:ind w:right="100" w:firstLine="8"/>
        <w:spacing w:after="0" w:line="250" w:lineRule="auto"/>
        <w:tabs>
          <w:tab w:leader="none" w:pos="34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in this column for 2024 relate to amounts earned by our named executive officers pursuant to our bonus program described below under “—Narrative to Summary Compensation Table—2024 Bonuses”.</w:t>
      </w:r>
    </w:p>
    <w:p>
      <w:pPr>
        <w:ind w:right="600" w:firstLine="8"/>
        <w:spacing w:after="0" w:line="250" w:lineRule="auto"/>
        <w:tabs>
          <w:tab w:leader="none" w:pos="34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a one-time sign-on bonus. See “—Narrative to Summary Compensation Table—2024 Bonuses—Biddle Sign-On Bonus” below for additional details.</w:t>
      </w:r>
    </w:p>
    <w:p>
      <w:pPr>
        <w:ind w:right="940" w:firstLine="8"/>
        <w:spacing w:after="0" w:line="250" w:lineRule="auto"/>
        <w:tabs>
          <w:tab w:leader="none" w:pos="34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Amount represents a reimbursement of legal fees incurred by Mr. Biddle in connection with entering into his employment offer letter. See “Employment Arrangements – Warner Biddle” below for additional details.</w:t>
      </w:r>
    </w:p>
    <w:p>
      <w:pPr>
        <w:ind w:right="120" w:firstLine="8"/>
        <w:spacing w:after="0" w:line="250" w:lineRule="auto"/>
        <w:tabs>
          <w:tab w:leader="none" w:pos="34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Amount represents (a) a severance payment of $550,000 paid to Dr. Maag pursuant to a Separation and General Release Agreement entered into with Dr. Maag in connection with his resignation in September 2024, (b) consulting fees in an aggregate amount of $137,499.99 (or a monthly payment of $45,833.33 for three months of consulting services), and (c) COBRA payments in an aggregate amount of $7,263.60, payable to Dr. Maag pursuant to a Separation and General Release Agreement entered into with Dr. Maag. See “Employment Arrangements – Peter Maag, Ph.D.” below for additional details.</w:t>
      </w:r>
    </w:p>
    <w:p>
      <w:pPr>
        <w:spacing w:after="0" w:line="1" w:lineRule="exact"/>
        <w:rPr>
          <w:rFonts w:ascii="Times New Roman" w:cs="Times New Roman" w:eastAsia="Times New Roman" w:hAnsi="Times New Roman"/>
          <w:sz w:val="18"/>
          <w:szCs w:val="18"/>
          <w:color w:val="231F20"/>
        </w:rPr>
      </w:pPr>
    </w:p>
    <w:p>
      <w:pPr>
        <w:ind w:left="300" w:hanging="292"/>
        <w:spacing w:after="0"/>
        <w:tabs>
          <w:tab w:leader="none" w:pos="30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Maag resigned effective September 13, 2024.</w:t>
      </w:r>
    </w:p>
    <w:p>
      <w:pPr>
        <w:spacing w:after="0" w:line="9" w:lineRule="exact"/>
        <w:rPr>
          <w:rFonts w:ascii="Times New Roman" w:cs="Times New Roman" w:eastAsia="Times New Roman" w:hAnsi="Times New Roman"/>
          <w:sz w:val="18"/>
          <w:szCs w:val="18"/>
          <w:color w:val="231F20"/>
        </w:rPr>
      </w:pPr>
    </w:p>
    <w:p>
      <w:pPr>
        <w:ind w:left="300" w:hanging="292"/>
        <w:spacing w:after="0"/>
        <w:tabs>
          <w:tab w:leader="none" w:pos="30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Comprised solely of insurance benefits paid by us on behalf of the NEO.</w:t>
      </w:r>
    </w:p>
    <w:p>
      <w:pPr>
        <w:spacing w:after="0" w:line="9" w:lineRule="exact"/>
        <w:rPr>
          <w:rFonts w:ascii="Times New Roman" w:cs="Times New Roman" w:eastAsia="Times New Roman" w:hAnsi="Times New Roman"/>
          <w:sz w:val="18"/>
          <w:szCs w:val="18"/>
          <w:color w:val="231F20"/>
        </w:rPr>
      </w:pPr>
    </w:p>
    <w:p>
      <w:pPr>
        <w:ind w:right="240" w:firstLine="8"/>
        <w:spacing w:after="0" w:line="250" w:lineRule="auto"/>
        <w:tabs>
          <w:tab w:leader="none" w:pos="30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accordance with SEC guidance, compensation information for Dr. Borie for fiscal year 2023 has not been included in this table because Dr. Borie was not a named executive officer for fiscal year 2023. Dr. Borie transitioned from his role as our President, Research and Development to Strategic Advisor to our Chief Executive Officer and our board of directors effective January 2025.</w:t>
      </w:r>
    </w:p>
    <w:p>
      <w:pPr>
        <w:spacing w:after="0" w:line="1" w:lineRule="exact"/>
        <w:rPr>
          <w:rFonts w:ascii="Times New Roman" w:cs="Times New Roman" w:eastAsia="Times New Roman" w:hAnsi="Times New Roman"/>
          <w:sz w:val="18"/>
          <w:szCs w:val="18"/>
          <w:color w:val="231F20"/>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Chung resigned effective November 22, 2024.</w:t>
      </w:r>
    </w:p>
    <w:p>
      <w:pPr>
        <w:spacing w:after="0" w:line="9" w:lineRule="exact"/>
        <w:rPr>
          <w:rFonts w:ascii="Times New Roman" w:cs="Times New Roman" w:eastAsia="Times New Roman" w:hAnsi="Times New Roman"/>
          <w:sz w:val="18"/>
          <w:szCs w:val="18"/>
          <w:color w:val="231F20"/>
        </w:rPr>
      </w:pPr>
    </w:p>
    <w:p>
      <w:pPr>
        <w:ind w:right="320" w:firstLine="8"/>
        <w:spacing w:after="0" w:line="260" w:lineRule="auto"/>
        <w:tabs>
          <w:tab w:leader="none" w:pos="34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Amount represents a severance payment agreed to be paid to Dr. Chung pursuant to a Letter Agreement entered into with Dr. Chung in connection with his resignation in November 2024. See “Employment Arrangements – James Chung, M.D., Ph.D.” below for additional details.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Narrative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2024 Salaries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Our NEOs each receive a base salary to compensate them for services rendered to our Company. The base salary payable to each NEO is intended to provide a fixed component of compensation reflecting the executive’s skill set, experience, role and responsibilities.</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231F20"/>
        </w:rPr>
        <w:t>For 2024, Mr. Biddle had an annual base salary of $625,000, which was established in connection with his appointment as our Chief Executive Officer in September 2024 and prorated for 2024 based on his start date.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For 2024, Dr. Maag, our former Chief Executive Officer, had an annual base salary of $550,000 until he resigned from our Company in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2024.</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For 2024, Dr. Borie, who served as our President, Research and Development during all of 2024, had an annual base salary of $440,000.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For 2024, Ms. Walker had an annual base salary of $440,000.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For 2024, Dr. Chung, our former Chief Medical Officer, had an annual base salary of $440,000 until he resigned from our Company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2024.</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board of directors and Compensation Committee may adjust base salaries from time to time in their discretion.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2024 Bonuses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231F20"/>
        </w:rPr>
        <w:t>Each of our NEOs, other than Dr. Maag and Dr. Chung, was eligible to receive a bonus for 2024. Each NEO’s target bonus is expressed as a percentage of their annual base salary, which can be achieved by meeting company and individual goals. The 2024 annual bonus for each of Mr. Biddle, Dr. Borie and Ms. Walker was targeted at 60%, 40% and 40% of the NEO’s base salary, respectively. Per our offer letter with Mr. Biddle, Mr. Biddle’s target bonus was not pro-rated for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In January 2025, our Compensation Committee determined achievement under our 2024 annual bonus program. Our board of directors, upon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recommendation of the Compensation Committee, awarded a bonus to Mr. Biddle based on corporate and individual performance in an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$375,000. The Compensation Committee awarded bonuses to Dr. Borie and Ms. Walker based on corporate and individual performance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$147,840 and $151,360, respectively.</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board of directors and Compensation Committee may adjust annual bonuses or award discretionary bonuses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Biddle Sign-On Bonus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In connection with Mr. Biddle’s appointment as our Chief Executive Officer in September 2024, we agreed to pay Mr. Biddle a one-time bonus of $650,000, less applicable withholdings, or the Sign-On Bonus, within thirty days after Mr. Biddle’s start date. We paid the Sign-On Bonus to Mr. Biddle in October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Equity-Based Compensation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In September 2024, in connection with Mr. Biddle’s appointment as our Chief Executive Officer, Mr. Biddle was granted a stock option to purchase 2,579,259 shares of our common stock, which vests over four years, with 25% of the total number of shares subject to the option vesting on September 16, 2025, and 1/48th of the total number of shares subject to the option vesting monthly thereafter, subject to Mr. Biddle’s continued services to us on each applicable vesting date. The option has an exercise price of $6.89 per share, which our Compensation Committee determined equaled fair market value of our common stock on the date of grant.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Employment Arrangements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We have entered into offer letters and employee confidential information and inventions assignment agreements with each of our named executive officers. Each offer letter sets forth the title, base salary, target bonus opportunity and initial equity awards for the executive. Below are descriptions of employment offer letters with our named executive officers. For a discussion of the severance pay and other benefits to be provided in connection with a termination of employment and/or a change in control of the Company under the arrangements with our executive officers, see the subsection titled “— Potential Payments upon Termination or Change in Control”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Warner Biddle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On September 14, 2024, we entered into an offer letter with Mr. Biddle, or the Biddle Offer Letter. Pursuant to the Biddle Offer Letter, Mr. Biddle’s initial annualized salary is $625,000, and he was paid a one-time Sign-On Bonus of $650,000, less applicable withholdings, in October 2024. In the event of Mr. Biddle’s termination of employment by us for Cause (as defined in the Biddle Offer Letter), or if Mr. Biddle resigns without Good Reason (as defined in the Biddle Offer Letter), in either case prior to September 16, 2025, Mr. Biddle agreed to repay the Sign-On Bonus to us within thirty days after such termination or resignation. Additionally, Mr. Biddle will be eligible to receive an annual performance bonus of up to 60% of his base salary (which will not be pro-rated for 2024). Mr. Biddle is also entitled to be reimbursed for up to $150,000 of relocation/moving expenses. Mr. Biddle’s employment with us is on an “at-will” basis.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In connection with his appointment, and as provided in the Biddle Offer Letter, on September 16, 2024, we granted Mr. Biddle an option pursuant to the 2024 Inducement Equity Incentive Plan to purchase 2,579,259 shares of our common stock, or the Biddle Option, which Biddle Option will vest over four years, with 25% of the total number of shares subject to the Biddle Option vesting on September 16, 2025, and 1/48th of the total number of shares subject to the Biddle Option vesting monthly thereafter, subject to Mr. Biddle’s continued services to us on each applicable vesting date.</w:t>
      </w:r>
    </w:p>
    <w:p>
      <w:pPr>
        <w:spacing w:after="0" w:line="7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231F20"/>
        </w:rPr>
        <w:t>In connection with his employment, Mr. Biddle also entered into our standard Employee Confidential Information and Inventions Assignment Agreement, which includes confidentiality provisions, an invention assignment and non-compete covenants during his employment and non-solicit covenants during his employment and for one year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Peter Maag, Ph.D.</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In October 2022, we entered into an offer letter with Dr. Maag, or the Maag Offer Letter, our former Chief Executive Officer, which provided for at-will employment as our Chief Executive Officer with an initial base salary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of $450,000 per year, a discretionary annual target bonus equal to 50% of his annual base salary and the grant of a non-statutory option to purchase shares of our common stock at the fair market value as determined by our board of directors as of the date of grant, with the number of shares to be equal to approximately 6.5% of our fully diluted capitalization as of the date of grant. Effective January 1, 2024, Dr. Maag’s base salary was increased to $550,000 and his target bonus was increased to 55% of his annual base salary. In accordance with the Maag Offer Letter, on November 22, 2022, we granted Dr. Maag an option to purchase an aggregate of 1,397,285 shares of our common stock pursuant to the 2019 Plan (as defined below) with an exercise price of $3.15 per share, or the Initial Maag Option, with the following vesting schedule: 25% of the shares subject to the Initial Maag Option vest on October 13, 2023, the 12-month anniversary of Dr. Maag’s start date, and the balance vest in equal monthly installments over the following 36 months, subject to Dr. Maag’s Continuous Service (as defined in our 2019 Plan) as of each vesting date. The Initial Maag Option has an early exercise feature whereby it was immediately exercisable in full, as to the both the vested and unvested shares subject to the Initial Maag Option, with any shares of common stock issued upon an early exercise that have not yet vested subject to repurchase by us in the event of termination of Dr. Maag’s Continuous Service. We also agreed to pay or reimburse Dr. Maag for up to $5,000 for legal and tax-related fees incurred in negotiating and drafting the Maag Offer Letter and promissory note (described below).</w:t>
      </w:r>
    </w:p>
    <w:p>
      <w:pPr>
        <w:spacing w:after="0" w:line="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The Maag Offer Letter also provided that Dr. Maag may pay up to 50% of the aggregate exercise price of the Initial Maag Option with a promissory note on terms approved by our board of directors. In accordance with this provision in the Maag Offer Letter, on December 28, 2022, Dr. Maag early exercised 349,321 shares of our common stock subject to the Initial Maag Option in exchange for a partial recourse promissory note receivable in an aggregate principal amount of $1.1 million. On January 12, 2024, we forgave the promissory note in full, which includes the outstanding principal amount and interest through that date. The promissory note bore interest of 4.27% per annum and was due in December 2027, but would have become immediately due and payable upon the occurrence of certain events, including upon a change of control of our Company or on the date prior to the filing of a registration statement by us in connection with an initial public offering.</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The Maag Offer Letter provided that if we terminated Dr. Maag’s employment for Cause (as defined in the Maag Offer Letter) at any time, if he resigned without Good Reason (as defined in the Maag Offer Letter) or if his employment terminated as a result of his death or disability, he would receive his base salary accrued through his last day of employment but would not be entitled to any other form of compensation from the Company, including severance benefits. If we terminated Dr. Maag’s employment without Cause or he resigned for Good Reason and other than as a result of his death or disability, and provided such termination constituted a “separation from service” (as defined under Treasury Regulation Section 1.409A-1(h)), then, subject to his obligations set forth in the Maag Offer Letter, he would have been entitled to receive: (i) 12 months of his then-current base salary, and (ii) COBRA premiums until the earliest of (A) the end of the 12-month period following the termination of his employment, (B) the expiration of his eligibility for the continuation coverage under COBRA and (C) the date he became eligible for substantially equivalent health insurance coverage in connection with new employment. In addition, if a Change in Control (as defined in the Maag Offer Letter) occurs, the Initial Maag Option (including for this purpose any unvested shares of our common stock issued upon exercise of the Initial Maag Option) shall vest in full, subject to Dr. Maag’s Continuous Service through and including the date on which the Change in Control is consummated.</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On September 13, 2024, we and Dr. Maag entered into a Separation and General Release Agreement, or the Separation Agreement, pursuant to which Dr. Maag resigned as our Chief Executive Officer, and also as a director, effective September 13, 2024, or the Separation Date, which contains a release of claims against us and the following severance benefits to be paid to Dr. Maag; provided, that he does not revoke the release of claims: full monthly COBRA premiums for Dr. Maag to continue healthcare insurance coverage under COBRA until the earliest of: (a) the close of the 12-month period following the end of the Contractor Period (as defined below); (b) the date Dr. Maag is no longer eligible to receive COBRA continuation coverage; or (c) the date on which Dr. Maag becomes eligible to receive similar healthcare insurance coverage from another employer or another source.</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Additionally, the Separation Agreement further provides that, commencing on the Separation Date for a period of up to six months, or the Contractor Period, Dr. Maag shall provide certain contractor services, including providing such assistance to our Chief Executive Officer primarily relating to the transition of his prior responsibilities and knowledge transfer activities. As compensation for such contractor services, and subject to Dr. Maag providing such contractor services in good faith, we will provide Dr. Maag with a monthly payment of $45,833.33 (payable no later than the last day of the subsequent month for services performed for the prior month and prorated for any partial months) and Dr. Maag’s equity compensation outstanding as of September 13, 2024, will continue to vest in accordance with the terms of the applicable award agreement(s) and plan(s), which such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awards shall continue to be subject to such terms, including, without limitation, with respect to expiration. Further, if, within 60 days of the termination of the Contractor Period, Dr. Maag re-executes the Separation Agreement and allows it to become effective and irrevocable as a result of such re-execution, and, so long as Dr. Maag provided the requested services during the Contractor Period in good faith and the Contractor Period either terminated naturally at the end of such Contractor Period or was terminated earlier by Dr. Maag, then (i) we will pay Dr. Maag $550,000, less all applicable withholdings and deductions, during the 12-month period commencing 6-months following the Separation Date, payable in accordance with our normal payroll practices, and (ii) solely for purposes of stock option vesting and expiration, but subject to Dr. Maag continuing to comply with his obligations to us, Dr. Maag shall be deemed to remain a continuous service provider through, and terminating on, June 13,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Dominic Borie, M.D., Ph.D.</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In December 2019, we entered into an offer letter with Dr. Borie, or the Borie Offer Letter, which provided for at-will employment as our Chief Executive Officer, with an initial base salary of $395,000, an annual target bonus equal to 40% of his annual base salary, and a one-time sign-on bonus of $130,000 granted on the condition that Dr. Borie remain employed by us through the one-year anniversary of his start date.</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231F20"/>
        </w:rPr>
        <w:t>In May 2022, we entered into an Amendment to the Borie Offer Letter, or the Amended Borie Offer Letter, which provided for Dr. Borie’s transition to the position of President, Research and Development. Pursuant to the Amended Borie Offer Letter, Dr. Borie’s salary continued to be paid at the then-current rate of $420,844, while being eligible for the same benefits, bonus target percentage and severance benefits as set forth in the Borie Offer Letter. We also agreed to grant Dr. Borie an option to purchase 149,545 shares of our common stock, with an exercise price of $4.42, subject to the following vesting schedule: 25% of the shares subject to the option vested on May 6, 2023 and the balance would vest in equal monthly installments over the following 36 months of his Continuous Service (as defined in the 2019 Plan).</w:t>
      </w:r>
    </w:p>
    <w:p>
      <w:pPr>
        <w:spacing w:after="0" w:line="7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231F20"/>
        </w:rPr>
        <w:t>Effective January 1, 2024, Dr. Borie’s base salary was increased to $440,000 per year and his discretionary annual target bonus was increased to equal to 40% of his annual base salary.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In January 2025, Dr. Borie transitioned to the role of Strategic Advisor to our Chief Executive Officer and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Karen Walker</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In July 2021, we entered into an offer letter with Ms. Walker, or the Walker Offer Letter, which provides for at-will employment as our Senior Vice President, Chief Technology Officer, with an initial base salary of $370,000 per year, an annual target bonus equal to 35% of her annual base salary and grant of an option to purchase 92,285 shares of our common stock. In accordance with the Walker Offer Letter, on November 18, 2021, we granted to Ms. Walker an option to purchase an aggregate of 92,285 shares of our common stock with an exercise price of $4.42 per share, which is subject to the following vesting schedule: 25% of the shares subject to the option vested on September 13, 2022 and the balance vest in equal monthly installments over the following 36 months of her Continuous Service (as defined in the 2019 Plan).</w:t>
      </w:r>
    </w:p>
    <w:p>
      <w:pPr>
        <w:spacing w:after="0" w:line="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231F20"/>
        </w:rPr>
        <w:t>The Walker Offer Letter also provides for reimbursement of expenses related to her travel to our headquarter offices on a regular basis to perform her duties in person.</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231F20"/>
        </w:rPr>
        <w:t>Effective January 1, 2024, Ms. Walker’s base salary was increased to $440,000 per year and her discretionary annual target bonus was increased to equal to 40% of her annual base salary.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Chung, M.D., Ph.D.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In March 2021, we entered into an offer letter with Dr. Chung, or the Chung Offer Letter, which provided for at-will employment as our Senior Vice President, Chief Medical Officer, with an initial base salary of $375,000 per year, an annual target bonus equal to 35% of his annual base salary, a one-time sign-on/retention bonus of $30,000 granted on the condition that Dr. Chung remain employed by us through the two-year anniversary of his start date, as well as grant of an option to purchase 98,877 shares of our common stock. In accordance with the Chung Offer Letter, on April 27, 2021, we granted to Dr. Chung an option to purchase an aggregate of 98,877 shares of our common stock with an exercise price of $3.37 per share, which was subject to the following vesting schedule: 25% of the shares subject to the option vested on April 12, 2022 and the balance would vest in equal monthly installments over the following 36 months of his Continuous Service (as defined in the 2019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Chung Offer Letter also provided for reimbursement of moving expenses related to Dr. Chung’s relocation to the San Francisco Bay Area in the amount up to $40,000 payable in 2023, 30 days of housing allowance for temporary living up to approximately $3,500 per month on the condition that he remained employed by us through the two-year anniversary of his start date, as well as payment for the travel and lodging expenses related to his presence at our headquarter offices from his start date through his relocation date, capped at $3,500 per month.</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Effective January 1, 2024, Dr. Chung’s base salary was increased to $440,000 per year and his discretionary annual target bonus was increased to equal to 40% of his annual base salary.</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On November 8, 2024, Dr. Chung resigned from the Company, effective as of November 22, 2024. On November 20, 2024, we entered into a letter agreement, or the Chung Letter Agreement, which contains, among other things, a release of claims against the Company and the following severance benefits to be paid to Dr. Chung provided that he does not revoke the release of claims against the Company: (a) $220,000 (equal to six months of his base salary in effect at the time of his resignation from the Company), less all applicable withholdings and deductions, payable in accordance with the Company’s regular payroll practices, and (b) full monthly COBRA premiums for Dr. Chung to continue healthcare insurance coverage under COBRA until the earliest of: (1) the close of the six-month period following November 22, 2024; (2) the date on which Dr. Chung becomes eligible for substantially equivalent health insurance coverage in connection with new employment, or (3) the date Dr. Chung ceases to be eligible for COBRA coverage for any reason.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Potential Payments Upon Termination or Change in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Warner Biddle</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Pursuant to the Biddle Offer Letter, if we terminate Mr. Biddle’s employment without Cause (as defined in the Biddle Offer Letter), or Mr. Biddle resigns for Good Reason (as defined in the Biddle Offer Letter), Mr. Biddle will be entitled to (a) a lump sum payment equal to eighteen months of Mr. Biddle’s then-current annual base salary, (b) a lump-sum payment equal to Mr. Biddle’s then-current target bonus, less all applicable withholdings and deductions, paid on the 60th day following Mr. Biddle’s separation from service, (c) reimbursement of COBRA premiums for Mr. Biddle and his eligible dependents for eighteen months; provided, that such reimbursement will cease on the date that Mr. Biddle becomes covered under a similar plan, and (d) acceleration of vesting with respect to any unvested service-based equity awards for an additional eighteen months; provided, that if the separation from service occurs within twelve months following a “Change in Control” (as defined in the Biddle Offer Letter), Mr. Biddle shall be entitled to full acceleration of vesting with respect to 100% of all unvested equity awards (with any performance-based vesting requirements being deemed satisfied at target). Payment of the foregoing under the Biddle Offer Letter is conditioned upon Mr. Biddle’s execution of a separation agreement and release of claims in our favor.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Karen Walker</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The Walker Offer Letter provides that if, at any time, we terminate Ms. Walker’s employment for Cause (as defined in the Walker Offer Letter), if she resigns without Good Reason (as defined in the Walker Offer Letter) or if her employment terminates as a result of her death or disability, she will receive her base salary accrued through her last day of employment but will not be entitled to any other form of compensation from us, including severance benefits. If, outside of a CIC Period (as defined in the Walker Offer Letter), we terminate Ms. Walker’s employment without Cause or she resigns for Good Reason and other than as a result of her death or disability, and provided such termination constitutes a “separation from service” (as defined under Treasury Regulation Section 1.409A-1(h)), then, subject to her obligations set forth in the Walker Offer Letter, she will be entitled to receive (i) three months of her then-current base salary and (ii) COBRA premiums until the earliest of (A) the end of the three-month period following the termination of her employment, (B) the expiration of her eligibility for the continuation coverage under COBRA and (C) the date she becomes eligible for substantially equivalent health insurance coverage in connection with new employment. If, within a CIC Period, we terminate Ms. Walker’s employment without Cause or she resigns for Good Reason and other than as a result of her death or disability, and provided such termination constitutes a “separation from service,” then, subject to her obligations set forth in the Walker Offer Letter, she will be entitled to receive (1) six months of her then-current base salary, (ii) COBRA premiums until the earliest of (A) the end of the six-month period following the termination of her employment, (B) the expiration of her eligibility for the continuation coverage under COBRA and (C) the date she becomes eligible for substantially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equivalent health insurance coverage in connection with new employment and (iii) accelerated vesting of any of her then-outstanding options such that, as of the date of her employment termination, she will be deemed to have vested in those shares that would have vested on the 12-month anniversary of her employment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Plans and Benefits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All of our named executive officers are eligible to participate in our employee benefit plans offered to similarly situated employees, including medical, dental, vision, disability, life insurance and 401(k) plans. We did not provide any perquisites or personal benefits to any of our named executive officers during 2024. However, our Compensation Committee or board of directors may from time to time approve perquisites in the future when our Compensation Committee or board of directors determines that they are necessary or advisable to fairly compensate or incentivize our employees. Our Compensation Committee or board of directors may also elect to adopt qualified or non-qualified benefit plans in the future if it determines that doing so is in our best interests.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The following table presents certain information concerning outstanding equity awards held by each of our named executive officers at December 31, 2024: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5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34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41"/>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3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34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(2)(3)</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w w:val="93"/>
              </w:rPr>
              <w:t>(1)</w:t>
            </w:r>
          </w:p>
        </w:tc>
        <w:tc>
          <w:tcPr>
            <w:tcW w:w="11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Exercisable</w:t>
            </w:r>
            <w:r>
              <w:rPr>
                <w:rFonts w:ascii="Times New Roman" w:cs="Times New Roman" w:eastAsia="Times New Roman" w:hAnsi="Times New Roman"/>
                <w:sz w:val="19"/>
                <w:szCs w:val="19"/>
                <w:b w:val="1"/>
                <w:bCs w:val="1"/>
                <w:color w:val="auto"/>
                <w:w w:val="97"/>
                <w:vertAlign w:val="superscript"/>
              </w:rPr>
              <w:t>(2)</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Unexercisable</w:t>
            </w:r>
            <w:r>
              <w:rPr>
                <w:rFonts w:ascii="Times New Roman" w:cs="Times New Roman" w:eastAsia="Times New Roman" w:hAnsi="Times New Roman"/>
                <w:sz w:val="19"/>
                <w:szCs w:val="19"/>
                <w:b w:val="1"/>
                <w:bCs w:val="1"/>
                <w:color w:val="auto"/>
                <w:w w:val="99"/>
                <w:vertAlign w:val="superscript"/>
              </w:rPr>
              <w:t>(2)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Warner Biddle</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9/16/2024</w:t>
            </w:r>
          </w:p>
        </w:tc>
        <w:tc>
          <w:tcPr>
            <w:tcW w:w="580" w:type="dxa"/>
            <w:vAlign w:val="bottom"/>
            <w:vMerge w:val="continue"/>
          </w:tcPr>
          <w:p>
            <w:pPr>
              <w:spacing w:after="0"/>
              <w:rPr>
                <w:sz w:val="3"/>
                <w:szCs w:val="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9/16/2024</w:t>
            </w:r>
          </w:p>
        </w:tc>
        <w:tc>
          <w:tcPr>
            <w:tcW w:w="340" w:type="dxa"/>
            <w:vAlign w:val="bottom"/>
            <w:vMerge w:val="continue"/>
          </w:tcPr>
          <w:p>
            <w:pPr>
              <w:spacing w:after="0"/>
              <w:rPr>
                <w:sz w:val="3"/>
                <w:szCs w:val="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2,579,259</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9/16/2034</w:t>
            </w: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2380" w:type="dxa"/>
            <w:vAlign w:val="bottom"/>
            <w:gridSpan w:val="3"/>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32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380" w:type="dxa"/>
            <w:vAlign w:val="bottom"/>
            <w:gridSpan w:val="3"/>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(2)(3)</w:t>
            </w:r>
          </w:p>
        </w:tc>
        <w:tc>
          <w:tcPr>
            <w:tcW w:w="1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Peter Maag, Ph.D.</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11/22/2022</w:t>
            </w:r>
          </w:p>
        </w:tc>
        <w:tc>
          <w:tcPr>
            <w:tcW w:w="580" w:type="dxa"/>
            <w:vAlign w:val="bottom"/>
            <w:vMerge w:val="continue"/>
          </w:tcPr>
          <w:p>
            <w:pPr>
              <w:spacing w:after="0"/>
              <w:rPr>
                <w:sz w:val="7"/>
                <w:szCs w:val="7"/>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10/13/2022</w:t>
            </w:r>
          </w:p>
        </w:tc>
        <w:tc>
          <w:tcPr>
            <w:tcW w:w="340" w:type="dxa"/>
            <w:vAlign w:val="bottom"/>
          </w:tcPr>
          <w:p>
            <w:pPr>
              <w:spacing w:after="0"/>
              <w:rPr>
                <w:sz w:val="7"/>
                <w:szCs w:val="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349,324</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640,420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11/21/2032</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380" w:type="dxa"/>
            <w:vAlign w:val="bottom"/>
            <w:gridSpan w:val="3"/>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7/13/2023</w:t>
            </w:r>
          </w:p>
        </w:tc>
        <w:tc>
          <w:tcPr>
            <w:tcW w:w="580" w:type="dxa"/>
            <w:vAlign w:val="bottom"/>
            <w:vMerge w:val="continue"/>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7/1/2023</w:t>
            </w:r>
          </w:p>
        </w:tc>
        <w:tc>
          <w:tcPr>
            <w:tcW w:w="34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7/12/2033</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11/6/2023</w:t>
            </w:r>
          </w:p>
        </w:tc>
        <w:tc>
          <w:tcPr>
            <w:tcW w:w="580" w:type="dxa"/>
            <w:vAlign w:val="bottom"/>
            <w:vMerge w:val="continue"/>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1/1/2024</w:t>
            </w:r>
          </w:p>
        </w:tc>
        <w:tc>
          <w:tcPr>
            <w:tcW w:w="3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329,590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11/5/2033</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380" w:type="dxa"/>
            <w:vAlign w:val="bottom"/>
            <w:gridSpan w:val="3"/>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Dominic Borie, M.D., Ph.D.</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7/13/2023</w:t>
            </w:r>
          </w:p>
        </w:tc>
        <w:tc>
          <w:tcPr>
            <w:tcW w:w="580" w:type="dxa"/>
            <w:vAlign w:val="bottom"/>
            <w:vMerge w:val="continue"/>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7/1/2023</w:t>
            </w:r>
          </w:p>
        </w:tc>
        <w:tc>
          <w:tcPr>
            <w:tcW w:w="34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7/12/2033</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80" w:type="dxa"/>
            <w:vAlign w:val="bottom"/>
            <w:gridSpan w:val="3"/>
            <w:vMerge w:val="continue"/>
            <w:shd w:val="clear" w:color="auto" w:fill="CFF0FC"/>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shd w:val="clear" w:color="auto" w:fill="CFF0FC"/>
          </w:tcPr>
          <w:p>
            <w:pPr>
              <w:spacing w:after="0"/>
              <w:rPr>
                <w:sz w:val="7"/>
                <w:szCs w:val="7"/>
                <w:color w:val="auto"/>
              </w:rPr>
            </w:pPr>
          </w:p>
        </w:tc>
        <w:tc>
          <w:tcPr>
            <w:tcW w:w="234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11/6/2023</w:t>
            </w:r>
          </w:p>
        </w:tc>
        <w:tc>
          <w:tcPr>
            <w:tcW w:w="580" w:type="dxa"/>
            <w:vAlign w:val="bottom"/>
            <w:vMerge w:val="continue"/>
          </w:tcPr>
          <w:p>
            <w:pPr>
              <w:spacing w:after="0"/>
              <w:rPr>
                <w:sz w:val="7"/>
                <w:szCs w:val="7"/>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1/1/2024</w:t>
            </w:r>
          </w:p>
        </w:tc>
        <w:tc>
          <w:tcPr>
            <w:tcW w:w="340" w:type="dxa"/>
            <w:vAlign w:val="bottom"/>
          </w:tcPr>
          <w:p>
            <w:pPr>
              <w:spacing w:after="0"/>
              <w:rPr>
                <w:sz w:val="7"/>
                <w:szCs w:val="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21,972</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11/5/2033</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shd w:val="clear" w:color="auto" w:fill="CFF0FC"/>
          </w:tcPr>
          <w:p>
            <w:pPr>
              <w:spacing w:after="0"/>
              <w:rPr>
                <w:sz w:val="10"/>
                <w:szCs w:val="10"/>
                <w:color w:val="auto"/>
              </w:rPr>
            </w:pPr>
          </w:p>
        </w:tc>
        <w:tc>
          <w:tcPr>
            <w:tcW w:w="23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vMerge w:val="continue"/>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FF0FC"/>
          </w:tcPr>
          <w:p>
            <w:pPr>
              <w:spacing w:after="0"/>
              <w:rPr>
                <w:sz w:val="8"/>
                <w:szCs w:val="8"/>
                <w:color w:val="auto"/>
              </w:rPr>
            </w:pPr>
          </w:p>
        </w:tc>
        <w:tc>
          <w:tcPr>
            <w:tcW w:w="23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5/19/2022</w:t>
            </w:r>
          </w:p>
        </w:tc>
        <w:tc>
          <w:tcPr>
            <w:tcW w:w="580" w:type="dxa"/>
            <w:vAlign w:val="bottom"/>
            <w:vMerge w:val="continue"/>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5/6/2022</w:t>
            </w:r>
          </w:p>
        </w:tc>
        <w:tc>
          <w:tcPr>
            <w:tcW w:w="34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37,396</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52,955</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5/18/2032</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vMerge w:val="continue"/>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James Chung, M.D., Ph.D.</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4/27/2021</w:t>
            </w:r>
          </w:p>
        </w:tc>
        <w:tc>
          <w:tcPr>
            <w:tcW w:w="580" w:type="dxa"/>
            <w:vAlign w:val="bottom"/>
            <w:vMerge w:val="continue"/>
          </w:tcPr>
          <w:p>
            <w:pPr>
              <w:spacing w:after="0"/>
              <w:rPr>
                <w:sz w:val="7"/>
                <w:szCs w:val="7"/>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4/12/2021</w:t>
            </w:r>
          </w:p>
        </w:tc>
        <w:tc>
          <w:tcPr>
            <w:tcW w:w="340" w:type="dxa"/>
            <w:vAlign w:val="bottom"/>
          </w:tcPr>
          <w:p>
            <w:pPr>
              <w:spacing w:after="0"/>
              <w:rPr>
                <w:sz w:val="7"/>
                <w:szCs w:val="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22,622 </w:t>
            </w:r>
          </w:p>
        </w:tc>
        <w:tc>
          <w:tcPr>
            <w:tcW w:w="220" w:type="dxa"/>
            <w:vAlign w:val="bottom"/>
          </w:tcPr>
          <w:p>
            <w:pPr>
              <w:spacing w:after="0"/>
              <w:rPr>
                <w:sz w:val="7"/>
                <w:szCs w:val="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4/26/2031</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380" w:type="dxa"/>
            <w:vAlign w:val="bottom"/>
            <w:gridSpan w:val="3"/>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7/13/2023</w:t>
            </w:r>
          </w:p>
        </w:tc>
        <w:tc>
          <w:tcPr>
            <w:tcW w:w="580" w:type="dxa"/>
            <w:vAlign w:val="bottom"/>
            <w:vMerge w:val="continue"/>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7/1/2023</w:t>
            </w:r>
          </w:p>
        </w:tc>
        <w:tc>
          <w:tcPr>
            <w:tcW w:w="34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tcPr>
          <w:p>
            <w:pPr>
              <w:spacing w:after="0"/>
              <w:rPr>
                <w:sz w:val="8"/>
                <w:szCs w:val="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7/12/2033</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Karen Walker</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11/18/2021</w:t>
            </w:r>
          </w:p>
        </w:tc>
        <w:tc>
          <w:tcPr>
            <w:tcW w:w="580" w:type="dxa"/>
            <w:vAlign w:val="bottom"/>
            <w:vMerge w:val="continue"/>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9/13/2021</w:t>
            </w:r>
          </w:p>
        </w:tc>
        <w:tc>
          <w:tcPr>
            <w:tcW w:w="3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65,350</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17,298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11/17/2031</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38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7/13/2023</w:t>
            </w:r>
          </w:p>
        </w:tc>
        <w:tc>
          <w:tcPr>
            <w:tcW w:w="580" w:type="dxa"/>
            <w:vAlign w:val="bottom"/>
            <w:vMerge w:val="continue"/>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7/1/2023</w:t>
            </w:r>
          </w:p>
        </w:tc>
        <w:tc>
          <w:tcPr>
            <w:tcW w:w="3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7/12/2033</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11/6/2023</w:t>
            </w:r>
          </w:p>
        </w:tc>
        <w:tc>
          <w:tcPr>
            <w:tcW w:w="580" w:type="dxa"/>
            <w:vAlign w:val="bottom"/>
            <w:vMerge w:val="continue"/>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1/1/2024</w:t>
            </w:r>
          </w:p>
        </w:tc>
        <w:tc>
          <w:tcPr>
            <w:tcW w:w="3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109,863</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11/5/2033</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-1633220</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-1083945</wp:posOffset>
            </wp:positionV>
            <wp:extent cx="7132320" cy="411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411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_______________</w:t>
      </w:r>
    </w:p>
    <w:p>
      <w:pPr>
        <w:spacing w:after="0" w:line="11" w:lineRule="exact"/>
        <w:rPr>
          <w:sz w:val="20"/>
          <w:szCs w:val="20"/>
          <w:color w:val="auto"/>
        </w:rPr>
      </w:pPr>
    </w:p>
    <w:p>
      <w:pPr>
        <w:ind w:right="260" w:firstLine="8"/>
        <w:spacing w:after="0" w:line="249" w:lineRule="auto"/>
        <w:tabs>
          <w:tab w:leader="none" w:pos="34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Option vests and becomes exercisable as to 25% of the total number of shares subject to the option on the first anniversary of the vesting commencement date and as to 1/48th of the total number of shares subject to the option on each monthly anniversary of the vesting commencement date thereafter, subject to any accelerated vesting set forth in the NEO’s offer letter.</w:t>
      </w:r>
    </w:p>
    <w:p>
      <w:pPr>
        <w:spacing w:after="0" w:line="2" w:lineRule="exact"/>
        <w:rPr>
          <w:rFonts w:ascii="Times New Roman" w:cs="Times New Roman" w:eastAsia="Times New Roman" w:hAnsi="Times New Roman"/>
          <w:sz w:val="18"/>
          <w:szCs w:val="18"/>
          <w:color w:val="231F20"/>
        </w:rPr>
      </w:pPr>
    </w:p>
    <w:p>
      <w:pPr>
        <w:ind w:right="300" w:firstLine="8"/>
        <w:spacing w:after="0" w:line="250" w:lineRule="auto"/>
        <w:tabs>
          <w:tab w:leader="none" w:pos="34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option is exercisable immediately subject to a repurchase right in favor of the Company which lapses as the option vests. Accordingly, the “Number of Securities Underlying Unexercised Options Unexercisable” column reflects the number of options held by the named executive officer that were outstanding, exercisable and unvested as of December 31, 2024.</w:t>
      </w:r>
    </w:p>
    <w:p>
      <w:pPr>
        <w:spacing w:after="0" w:line="1" w:lineRule="exact"/>
        <w:rPr>
          <w:rFonts w:ascii="Times New Roman" w:cs="Times New Roman" w:eastAsia="Times New Roman" w:hAnsi="Times New Roman"/>
          <w:sz w:val="18"/>
          <w:szCs w:val="18"/>
          <w:color w:val="231F20"/>
        </w:rPr>
      </w:pPr>
    </w:p>
    <w:p>
      <w:pPr>
        <w:ind w:firstLine="8"/>
        <w:spacing w:after="0" w:line="253" w:lineRule="auto"/>
        <w:tabs>
          <w:tab w:leader="none" w:pos="34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25% of the shares originally subject to the option will vest one year after the vesting commencement date, and 1/48th of the shares originally subject to the option vested or vest monthly thereafter subject to Dr. Maag’s continued service to the Company through each vesting date. Pursuant to the terms of the Separation Agreement with Dr. Maag, solely for purposes of stock option vesting and expiration, but subject to Dr. Maag continuing to comply with his obligations to us, Dr. Maag shall be deemed to remain a continuous service provider through, and terminating on, June 13,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ind w:right="160" w:firstLine="8"/>
        <w:spacing w:after="0" w:line="282" w:lineRule="auto"/>
        <w:tabs>
          <w:tab w:leader="none" w:pos="34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25% of the shares originally subject to the option vested one year after the vesting commencement date, and 1/48th of the shares originally subject to the option vested or vest monthly thereafter subject to the named executive officer’s continued service to the Company through each vesting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In connection with the IPO, effective February 6, 2024, our board of directors adopted, and our stockholders approved, the Kyverna Therapeutics, Inc. 2024 Equity Incentive Plan, which we refer to as the 2024 Plan. The purpose of the 2024 Plan is to provide incentives for our employees, directors and consultants to exert maximum efforts for the success of the Company and our affiliates and to provide a means by which such persons may be given an opportunity to benefit from increases in value of our common stock through the granting of awards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Employee Stock Purchase Plan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IPO, effective February 6, 2024, our board of directors adopted and our stockholders approved, the Kyverna Therapeutics, Inc. 2024 Employee Stock Purchase Plan, which we refer to as the ESPP. The ESPP is intended to provide incentives for our employees to exert maximum efforts toward our success and that of our related corporations.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under Section 423 of the Internal Revenue Code of 1986, as amended, or the Code. We may also authorize offerings under the 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Inducement Equity Incentive Plan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On September 14, 2024, the Compensation Committee adopted the Kyverna Therapeutics, Inc. 2024 Inducement Equity Incentive Plan, or the Inducement Plan. The Inducement Plan will serve to advance our interests by providing a material inducement for the best available individuals to join the Company as employees by affording such individuals an opportunity to acquire a proprietary interest in the Company</w:t>
      </w:r>
      <w:r>
        <w:rPr>
          <w:rFonts w:ascii="Times New Roman" w:cs="Times New Roman" w:eastAsia="Times New Roman" w:hAnsi="Times New Roman"/>
          <w:sz w:val="18"/>
          <w:szCs w:val="18"/>
          <w:color w:val="000000"/>
        </w:rPr>
        <w:t>.</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Inducement Plan provides for the grant of equity-based awards in the form of stock options, stock appreciation rights, restricted stock, restricted stock units, performance units and performance shares solely to our prospective employees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Inducement Plan is administered by the Compensation Committee and expires ten years from the date of effectiveness.</w:t>
      </w:r>
    </w:p>
    <w:p>
      <w:pPr>
        <w:spacing w:after="0" w:line="7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Inducement Plan has not been and will not be approved by our stockholders. Awards under the Inducement Plan will be made pursuant to the exemption from Nasdaq stockholder approval requirements for equity compensation provided by Nasdaq Listing Rule 5635(c)(4), which permits Nasdaq-listed companies to make inducement equity awards to new employees without first obtaining stockholder approval of the award.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Equity Award Timing Procedures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Item 402(x) of Regulation S-K under the Securities Act, we are providing information regarding our procedures related to the grant of certain equity awards close in time to the release of material non-public information, or MNPI. Although we do not have a formal policy, program or plan that requires us to award equity or equity-based compensation on specific dates, we generally expect to issue equity awards to our executive officers annually in the first fiscal quarter of each year, and such awards are approved by our Compensation Committee in the first fiscal quarter of each year. Additionally, our Insider Trading Policy prohibits directors, officers and employees from trading in our common stock while in possession of or on the basis of MNPI about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4" w:name="page145"/>
    <w:bookmarkEnd w:id="14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timed, and do not plan to time, the disclosure of MNPI for the purpose of affecting the value of executive compensation.</w:t>
      </w:r>
    </w:p>
    <w:p>
      <w:pPr>
        <w:spacing w:after="0" w:line="11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the year ended December 31, 2024, no options were granted to our NEOs within four business days prior to, or one business day following, the filing or furnishing of a periodic or current report by us that disclosed MNPI, other than a Current Report on Form 8-K disclosing the grant of an option award to Mr. Biddle in connection with his appointment as our Chief Executive Officer and a member of our </w:t>
      </w:r>
      <w:r>
        <w:rPr>
          <w:rFonts w:ascii="Times New Roman" w:cs="Times New Roman" w:eastAsia="Times New Roman" w:hAnsi="Times New Roman"/>
          <w:sz w:val="18"/>
          <w:szCs w:val="18"/>
          <w:color w:val="231F20"/>
        </w:rPr>
        <w:t>board of directors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Limitations on Liability and Indemnification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 Delaware law provides that directors and officers of a corporation will not be personally liable for monetary damages for any breach of fiduciary duties as directors or officers, except liability for:</w:t>
      </w:r>
    </w:p>
    <w:p>
      <w:pPr>
        <w:spacing w:after="0" w:line="75" w:lineRule="exact"/>
        <w:rPr>
          <w:sz w:val="20"/>
          <w:szCs w:val="20"/>
          <w:color w:val="auto"/>
        </w:rPr>
      </w:pPr>
    </w:p>
    <w:p>
      <w:pPr>
        <w:ind w:left="900" w:hanging="35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director, unlawful payments of dividends or unlawful stock repurchases or redemptions;</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officer, derivative claims brought on behalf of the corporation by a stockholder; or</w:t>
      </w:r>
    </w:p>
    <w:p>
      <w:pPr>
        <w:spacing w:after="0" w:line="117" w:lineRule="exact"/>
        <w:rPr>
          <w:rFonts w:ascii="Times New Roman" w:cs="Times New Roman" w:eastAsia="Times New Roman" w:hAnsi="Times New Roman"/>
          <w:sz w:val="18"/>
          <w:szCs w:val="18"/>
          <w:color w:val="auto"/>
        </w:rPr>
      </w:pPr>
    </w:p>
    <w:p>
      <w:pPr>
        <w:ind w:left="900" w:hanging="35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believe that these amended and restated certificate of incorporation provisions and indemnification agreements are necessary to attract and retain qualified persons as directors and officers. We also maintain customary directors’ and officers’ liability insurance.</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The limitation of liability and indemnification provisions in our amended and restated certificate of incorporation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Rule 10b5-1 Plans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material nonpublic information, subject to compliance with the terms of our insider trading policy and any applicable Rule 10b5-1 guidelines.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Non-Employee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231F20"/>
        </w:rPr>
        <w:t>Prior to our IPO, we did not have a formalized non-employee director compensation program, but we provided compensation to our non-employee directors who are not affiliated with our investors in accordance with their individual agreements.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entered into an offer letter, dated September 14, 2021, with Mr. Clark to serve as the Chairperson of our board of directors. Pursuant to Mr. Clark’s offer letter, we agreed to pay Mr. Clark an annual cash retainer and issue Mr. Clark an option to purchase shares of our common stock. Similarly, pursuant to our offer letter with Brian Kotzin, M.D., a former member of our board of directors, dated January 8, 2020, we agreed to pay Dr. Kotzin an annual cash payment for his service on our board of directors. Pursuant to our offer letter, dated March 31, 2021, with Daniel Spiegelman, we agreed to pay Mr. Spiegelman an annual cash retainer for service on our board of directors. In addition, on September 1, 2023, we entered into an advisor agreement with Mr. Spiegelman, pursuant to which he agreed to provide us advice in our evaluation of strategic options in the context of corporate finance activities, including, but not limited to, an initial public offering by us, in exchange for a payment of $10,000 per month. The advisor agreement with Mr. Spiegelman terminated on February 7, 2024. In addition, we reimbursed, and will continue to reimburse, all of our non-employee directors for their reasonable out-of-pocket expenses incurred in attending board of directors and committee meetings.</w:t>
      </w:r>
    </w:p>
    <w:p>
      <w:pPr>
        <w:spacing w:after="0" w:line="80"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231F20"/>
        </w:rPr>
        <w:t>In connection with our IPO, effective February 12, 2024, we implemented a non-employee director compensation program, or the Director Compensation Program. Pursuant to the Director Compensation Program, our non-employee directors received cash compensation, paid quarterly in arrears, as follows commencing February 12, 2024, which amounts were pro-rated for 2024:</w:t>
      </w:r>
    </w:p>
    <w:p>
      <w:pPr>
        <w:spacing w:after="0" w:line="68"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receives a cash retainer in the amount of $40,000 per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Chairperson of the Board receives an additional cash retainer of $35,000 per year.</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receives a cash retainer in the amount of $20,000 per year for such Chairperson’s service on the Audit Committee. Each non Chairperson member of the Audit Committee receives a cash retainer in the amount of $10,000 per year for such member’s service on the Audit Committee.</w:t>
      </w:r>
    </w:p>
    <w:p>
      <w:pPr>
        <w:spacing w:after="0" w:line="6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Compensation Committee receives a cash retainer in the amount of $15,000 per year for such Chairperson’s service on the Compensation Committee. Each non Chairperson member of the Compensation Committee receives a cash retainer in the amount of $7,500 per year for such member’s service on the Compensation Committee.</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Nominating and Corporate Governance Committee receives a cash retainer in the amount of $10,000 per year for such Chairperson’s service on the Nominating and Corporate Governance Committee. Each non-Chairperson member of the Nominating and Corporate Governance Committee receives a cash retainer in the amount of $5,000 per year for such member’s service on the Nominating and Corporate Governance Committee.</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Science and Technology Committee receives a cash retainer in the amount of $15,000 per year for such Chairperson’s service on the Science and Technology Committee. Each non-Chairperson member of the Science and Technology Committee receives a cash retainer in the amount of $7,500 per year for such member’s service on the Science and Technology Committee.</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Each non-employee director may elect, on an annual basis, to convert all or a portion of such non-employee director’s annual retainer into a number of restricted stock units granted under our 2024 Plan, which will be fully vested on the date of grant, and settlement of the restricted stock units may be deferred at the election of the non-employee director.</w:t>
      </w:r>
    </w:p>
    <w:p>
      <w:pPr>
        <w:spacing w:after="0" w:line="68"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231F20"/>
        </w:rPr>
        <w:t>Prior to March 25, 2025, our Director Compensation Program provided that each non-employee director initially elected or appointed to our board of directors after February 12, 2024, would automatically be granted an option, or the Initial Grant under the 2024 Plan to purchase that number of shares of our common stock equal to $350,000 divided by the per share grant date fair value of the option award. The Initial Grant would vest as to 1/36th of the underlying shares on a monthly basis over three years, subject to continued service through the applicable vesting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In addition, our Director Compensation Program provided that on the date of each annual meeting of our stockholders following the completion of the IPO and prior to March 25, 2025, each non-employee director who (i) had been serving on our board of directors for at least four months and (ii) would continue to serve as a non-employee director immediately following such annual meeting would automatically be granted an option, or the Annual Grant, under the 2024 Plan to purchase that number of shares of our common stock equal to (i) $175,000, divided by (ii) the per share grant date fair value of the option award. The Annual Grant would vest in full on the earlier of the (i) first anniversary of the grant date and (ii) immediately prior to the annual meeting of our stockholders following the date of grant, subject to continued service through the applicable vesting date.</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Effective March 25, 2025, the compensation committee of our board of directors implemented a Restated Non-Employee Director Compensation Program, or the Restated Director Compensation Program, which amended and restated the Director Compensation Program. The Restated Director Compensation Program provides that each non-employee director initially elected or appointed to our board of directors after March 25, 2025 will automatically be granted (A) an option under the 2024 Plan to purchase that number of shares of our common stock equal to $262,500 divided by the per share grant date fair value of the option award, which will vest as to 1/36th of the underlying shares on a monthly basis over three years, subject to continued service through the applicable vesting date, and (B) restricted stock units under the 2024 Plan or any other applicable Company equity incentive plan then maintained by us covering a number of shares of common stock equal to $87,500 divided by the per share grant date fair market value as of the date of the grant, rounded down to the nearest whole share, which will vest as to 1/3rd of the shares subject thereto on each one-year anniversary over three years, subject to continued service through the applicable vesting date.</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pursuant to the Restated Director Compensation Program, on the date of each annual meeting of our stockholders, commencing with our 2025 annual meeting of shareholders, each non-employee director who (i) has been serving on our board of directors for at least four months and (ii) will continue to serve as a non-employee director immediately following such annual meeting will automatically be granted (A) an option, or the Annual Option Grant, under the 2024 Plan to purchase that number of shares of our common stock equal to (a) $131,250, divided by (b) the per share grant date fair value of the option award, or (B) restricted stock units, or the Annual RSU Grant, under the 2024 Plan or any other applicable Company equity incentive plan then maintained by us covering a number of shares of common stock equal to $43,750 divided by the per share grant date fair market value as of the date of the grant, rounded down to the nearest whole share. Each of the Annual Option Grant and the Annual RSU Grant will be automatically granted on the date of each applicable annual meeting of shareholders and will vest in full on the earlier of (i) the first anniversary of the grant date and (ii) immediately prior to the annual meeting of our stockholders following the date of grant, subject to continued service through the applicable vesting date.</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Pursuant to the Restated Director Compensation Program, upon a change-in-control transaction, all outstanding equity awards held by our non-employee directors will vest in full. </w:t>
      </w:r>
      <w:r>
        <w:rPr>
          <w:rFonts w:ascii="Times New Roman" w:cs="Times New Roman" w:eastAsia="Times New Roman" w:hAnsi="Times New Roman"/>
          <w:sz w:val="18"/>
          <w:szCs w:val="18"/>
          <w:color w:val="000000"/>
        </w:rPr>
        <w:t>The cash compensation under the</w:t>
      </w:r>
      <w:r>
        <w:rPr>
          <w:rFonts w:ascii="Times New Roman" w:cs="Times New Roman" w:eastAsia="Times New Roman" w:hAnsi="Times New Roman"/>
          <w:sz w:val="18"/>
          <w:szCs w:val="18"/>
          <w:color w:val="231F20"/>
        </w:rPr>
        <w:t xml:space="preserve"> Restated Director Compensation Program remains the same as what was provided for in the Director Compensation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Director Compensation 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sets forth information for 2024 regarding the compensation awarded to, earned by or paid to our non-employee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Directors who are also our employees receive no additional compensation for their service as directors.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66"/>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or Paid in</w:t>
            </w:r>
          </w:p>
        </w:tc>
        <w:tc>
          <w:tcPr>
            <w:tcW w:w="340" w:type="dxa"/>
            <w:vAlign w:val="bottom"/>
          </w:tcPr>
          <w:p>
            <w:pPr>
              <w:spacing w:after="0"/>
              <w:rPr>
                <w:sz w:val="14"/>
                <w:szCs w:val="14"/>
                <w:color w:val="auto"/>
              </w:rPr>
            </w:pPr>
          </w:p>
        </w:tc>
        <w:tc>
          <w:tcPr>
            <w:tcW w:w="1160" w:type="dxa"/>
            <w:vAlign w:val="bottom"/>
          </w:tcPr>
          <w:p>
            <w:pPr>
              <w:jc w:val="right"/>
              <w:ind w:right="252"/>
              <w:spacing w:after="0" w:line="167" w:lineRule="exact"/>
              <w:rPr>
                <w:sz w:val="20"/>
                <w:szCs w:val="20"/>
                <w:color w:val="auto"/>
              </w:rPr>
            </w:pPr>
            <w:r>
              <w:rPr>
                <w:rFonts w:ascii="Times New Roman" w:cs="Times New Roman" w:eastAsia="Times New Roman" w:hAnsi="Times New Roman"/>
                <w:sz w:val="16"/>
                <w:szCs w:val="16"/>
                <w:b w:val="1"/>
                <w:bCs w:val="1"/>
                <w:color w:val="auto"/>
              </w:rPr>
              <w:t>Option</w:t>
            </w:r>
          </w:p>
        </w:tc>
        <w:tc>
          <w:tcPr>
            <w:tcW w:w="240" w:type="dxa"/>
            <w:vAlign w:val="bottom"/>
          </w:tcPr>
          <w:p>
            <w:pPr>
              <w:spacing w:after="0"/>
              <w:rPr>
                <w:sz w:val="14"/>
                <w:szCs w:val="14"/>
                <w:color w:val="auto"/>
              </w:rPr>
            </w:pPr>
          </w:p>
        </w:tc>
        <w:tc>
          <w:tcPr>
            <w:tcW w:w="14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54"/>
        </w:trPr>
        <w:tc>
          <w:tcPr>
            <w:tcW w:w="20" w:type="dxa"/>
            <w:vAlign w:val="bottom"/>
          </w:tcPr>
          <w:p>
            <w:pPr>
              <w:spacing w:after="0"/>
              <w:rPr>
                <w:sz w:val="22"/>
                <w:szCs w:val="22"/>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Cash ($)</w:t>
            </w:r>
          </w:p>
        </w:tc>
        <w:tc>
          <w:tcPr>
            <w:tcW w:w="340" w:type="dxa"/>
            <w:vAlign w:val="bottom"/>
          </w:tcPr>
          <w:p>
            <w:pPr>
              <w:spacing w:after="0"/>
              <w:rPr>
                <w:sz w:val="22"/>
                <w:szCs w:val="22"/>
                <w:color w:val="auto"/>
              </w:rPr>
            </w:pPr>
          </w:p>
        </w:tc>
        <w:tc>
          <w:tcPr>
            <w:tcW w:w="1160" w:type="dxa"/>
            <w:vAlign w:val="bottom"/>
            <w:tcBorders>
              <w:bottom w:val="single" w:sz="8" w:color="auto"/>
            </w:tcBorders>
          </w:tcPr>
          <w:p>
            <w:pPr>
              <w:jc w:val="right"/>
              <w:spacing w:after="0" w:line="255" w:lineRule="exact"/>
              <w:rPr>
                <w:sz w:val="20"/>
                <w:szCs w:val="20"/>
                <w:color w:val="auto"/>
              </w:rPr>
            </w:pPr>
            <w:r>
              <w:rPr>
                <w:rFonts w:ascii="Times New Roman" w:cs="Times New Roman" w:eastAsia="Times New Roman" w:hAnsi="Times New Roman"/>
                <w:sz w:val="16"/>
                <w:szCs w:val="16"/>
                <w:b w:val="1"/>
                <w:bCs w:val="1"/>
                <w:color w:val="auto"/>
                <w:w w:val="97"/>
              </w:rPr>
              <w:t>Awards ($)</w:t>
            </w:r>
            <w:r>
              <w:rPr>
                <w:rFonts w:ascii="Times New Roman" w:cs="Times New Roman" w:eastAsia="Times New Roman" w:hAnsi="Times New Roman"/>
                <w:sz w:val="21"/>
                <w:szCs w:val="21"/>
                <w:b w:val="1"/>
                <w:bCs w:val="1"/>
                <w:color w:val="auto"/>
                <w:w w:val="97"/>
                <w:vertAlign w:val="superscript"/>
              </w:rPr>
              <w:t>(1)</w:t>
            </w:r>
            <w:r>
              <w:rPr>
                <w:rFonts w:ascii="Times New Roman" w:cs="Times New Roman" w:eastAsia="Times New Roman" w:hAnsi="Times New Roman"/>
                <w:sz w:val="24"/>
                <w:szCs w:val="24"/>
                <w:color w:val="auto"/>
                <w:w w:val="97"/>
                <w:vertAlign w:val="superscript"/>
              </w:rPr>
              <w:t>(2)</w:t>
            </w:r>
          </w:p>
        </w:tc>
        <w:tc>
          <w:tcPr>
            <w:tcW w:w="240" w:type="dxa"/>
            <w:vAlign w:val="bottom"/>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420" w:type="dxa"/>
            <w:vAlign w:val="bottom"/>
          </w:tcPr>
          <w:p>
            <w:pPr>
              <w:spacing w:after="0"/>
              <w:rPr>
                <w:sz w:val="22"/>
                <w:szCs w:val="22"/>
                <w:color w:val="auto"/>
              </w:rPr>
            </w:pPr>
          </w:p>
        </w:tc>
        <w:tc>
          <w:tcPr>
            <w:tcW w:w="11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160" w:type="dxa"/>
            <w:vAlign w:val="bottom"/>
          </w:tcPr>
          <w:p>
            <w:pPr>
              <w:spacing w:after="0"/>
              <w:rPr>
                <w:sz w:val="22"/>
                <w:szCs w:val="22"/>
                <w:color w:val="auto"/>
              </w:rPr>
            </w:pPr>
          </w:p>
        </w:tc>
      </w:tr>
      <w:tr>
        <w:trPr>
          <w:trHeight w:val="223"/>
        </w:trPr>
        <w:tc>
          <w:tcPr>
            <w:tcW w:w="5080" w:type="dxa"/>
            <w:vAlign w:val="bottom"/>
            <w:gridSpan w:val="2"/>
            <w:shd w:val="clear" w:color="auto" w:fill="CFF0FC"/>
          </w:tcPr>
          <w:p>
            <w:pPr>
              <w:ind w:left="20"/>
              <w:spacing w:after="0" w:line="222" w:lineRule="exact"/>
              <w:rPr>
                <w:sz w:val="20"/>
                <w:szCs w:val="20"/>
                <w:color w:val="auto"/>
              </w:rPr>
            </w:pPr>
            <w:r>
              <w:rPr>
                <w:rFonts w:ascii="Times New Roman" w:cs="Times New Roman" w:eastAsia="Times New Roman" w:hAnsi="Times New Roman"/>
                <w:sz w:val="18"/>
                <w:szCs w:val="18"/>
                <w:color w:val="231F20"/>
              </w:rPr>
              <w:t>Mert Aktar</w:t>
            </w:r>
            <w:r>
              <w:rPr>
                <w:rFonts w:ascii="Times New Roman" w:cs="Times New Roman" w:eastAsia="Times New Roman" w:hAnsi="Times New Roman"/>
                <w:sz w:val="24"/>
                <w:szCs w:val="24"/>
                <w:color w:val="000000"/>
                <w:vertAlign w:val="superscript"/>
              </w:rPr>
              <w:t>(3)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349,841</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361,125</w:t>
            </w:r>
          </w:p>
        </w:tc>
        <w:tc>
          <w:tcPr>
            <w:tcW w:w="160" w:type="dxa"/>
            <w:vAlign w:val="bottom"/>
            <w:shd w:val="clear" w:color="auto" w:fill="CFF0FC"/>
          </w:tcPr>
          <w:p>
            <w:pPr>
              <w:spacing w:after="0"/>
              <w:rPr>
                <w:sz w:val="19"/>
                <w:szCs w:val="19"/>
                <w:color w:val="auto"/>
              </w:rPr>
            </w:pP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Ian Clark</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88,750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88,750</w:t>
            </w:r>
          </w:p>
        </w:tc>
        <w:tc>
          <w:tcPr>
            <w:tcW w:w="160" w:type="dxa"/>
            <w:vAlign w:val="bottom"/>
          </w:tcPr>
          <w:p>
            <w:pPr>
              <w:spacing w:after="0"/>
              <w:rPr>
                <w:sz w:val="18"/>
                <w:szCs w:val="18"/>
                <w:color w:val="auto"/>
              </w:rPr>
            </w:pPr>
          </w:p>
        </w:tc>
      </w:tr>
      <w:tr>
        <w:trPr>
          <w:trHeight w:val="216"/>
        </w:trPr>
        <w:tc>
          <w:tcPr>
            <w:tcW w:w="5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Fred E. Cohen, M.D., D.Phil.</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48,942 </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60" w:type="dxa"/>
            <w:vAlign w:val="bottom"/>
            <w:shd w:val="clear" w:color="auto" w:fill="CFF0FC"/>
          </w:tcPr>
          <w:p>
            <w:pPr>
              <w:spacing w:after="0"/>
              <w:rPr>
                <w:sz w:val="18"/>
                <w:szCs w:val="18"/>
                <w:color w:val="auto"/>
              </w:rPr>
            </w:pPr>
          </w:p>
        </w:tc>
      </w:tr>
      <w:tr>
        <w:trPr>
          <w:trHeight w:val="216"/>
        </w:trPr>
        <w:tc>
          <w:tcPr>
            <w:tcW w:w="50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Brian Kotzin, M.D.</w:t>
            </w:r>
            <w:r>
              <w:rPr>
                <w:rFonts w:ascii="Times New Roman" w:cs="Times New Roman" w:eastAsia="Times New Roman" w:hAnsi="Times New Roman"/>
                <w:sz w:val="24"/>
                <w:szCs w:val="24"/>
                <w:color w:val="auto"/>
                <w:vertAlign w:val="superscript"/>
              </w:rPr>
              <w:t>(4)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160" w:type="dxa"/>
            <w:vAlign w:val="bottom"/>
          </w:tcPr>
          <w:p>
            <w:pPr>
              <w:spacing w:after="0"/>
              <w:rPr>
                <w:sz w:val="18"/>
                <w:szCs w:val="18"/>
                <w:color w:val="auto"/>
              </w:rPr>
            </w:pPr>
          </w:p>
        </w:tc>
      </w:tr>
      <w:tr>
        <w:trPr>
          <w:trHeight w:val="216"/>
        </w:trPr>
        <w:tc>
          <w:tcPr>
            <w:tcW w:w="50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Steve Liapis, Ph.D.</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 Seidenberg, M.D.</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54,952 </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54,952</w:t>
            </w:r>
          </w:p>
        </w:tc>
        <w:tc>
          <w:tcPr>
            <w:tcW w:w="160" w:type="dxa"/>
            <w:vAlign w:val="bottom"/>
          </w:tcPr>
          <w:p>
            <w:pPr>
              <w:spacing w:after="0"/>
              <w:rPr>
                <w:sz w:val="18"/>
                <w:szCs w:val="18"/>
                <w:color w:val="auto"/>
              </w:rPr>
            </w:pPr>
          </w:p>
        </w:tc>
      </w:tr>
      <w:tr>
        <w:trPr>
          <w:trHeight w:val="216"/>
        </w:trPr>
        <w:tc>
          <w:tcPr>
            <w:tcW w:w="50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Christi Shaw</w:t>
            </w:r>
            <w:r>
              <w:rPr>
                <w:rFonts w:ascii="Times New Roman" w:cs="Times New Roman" w:eastAsia="Times New Roman" w:hAnsi="Times New Roman"/>
                <w:sz w:val="24"/>
                <w:szCs w:val="24"/>
                <w:color w:val="auto"/>
                <w:vertAlign w:val="superscript"/>
              </w:rPr>
              <w:t>(6)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349,894</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365,734</w:t>
            </w:r>
          </w:p>
        </w:tc>
        <w:tc>
          <w:tcPr>
            <w:tcW w:w="160" w:type="dxa"/>
            <w:vAlign w:val="bottom"/>
            <w:shd w:val="clear" w:color="auto" w:fill="CFF0FC"/>
          </w:tcPr>
          <w:p>
            <w:pPr>
              <w:spacing w:after="0"/>
              <w:rPr>
                <w:sz w:val="18"/>
                <w:szCs w:val="18"/>
                <w:color w:val="auto"/>
              </w:rPr>
            </w:pPr>
          </w:p>
        </w:tc>
      </w:tr>
      <w:tr>
        <w:trPr>
          <w:trHeight w:val="317"/>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K. Spiegelman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58,846</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12,414</w:t>
            </w:r>
            <w:r>
              <w:rPr>
                <w:rFonts w:ascii="Times New Roman" w:cs="Times New Roman" w:eastAsia="Times New Roman" w:hAnsi="Times New Roman"/>
                <w:sz w:val="24"/>
                <w:szCs w:val="24"/>
                <w:color w:val="auto"/>
                <w:vertAlign w:val="superscript"/>
              </w:rPr>
              <w:t>(7)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71,260</w:t>
            </w:r>
          </w:p>
        </w:tc>
        <w:tc>
          <w:tcPr>
            <w:tcW w:w="160" w:type="dxa"/>
            <w:vAlign w:val="bottom"/>
          </w:tcPr>
          <w:p>
            <w:pPr>
              <w:spacing w:after="0"/>
              <w:rPr>
                <w:sz w:val="24"/>
                <w:szCs w:val="24"/>
                <w:color w:val="auto"/>
              </w:rPr>
            </w:pPr>
          </w:p>
        </w:tc>
      </w:tr>
      <w:tr>
        <w:trPr>
          <w:trHeight w:val="76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80" w:type="dxa"/>
            <w:vAlign w:val="bottom"/>
            <w:gridSpan w:val="2"/>
          </w:tcPr>
          <w:p>
            <w:pPr>
              <w:jc w:val="right"/>
              <w:ind w:right="515"/>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-2150745</wp:posOffset>
            </wp:positionV>
            <wp:extent cx="68580"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_______________</w:t>
      </w:r>
    </w:p>
    <w:p>
      <w:pPr>
        <w:spacing w:after="0" w:line="19" w:lineRule="exact"/>
        <w:rPr>
          <w:sz w:val="20"/>
          <w:szCs w:val="20"/>
          <w:color w:val="auto"/>
        </w:rPr>
      </w:pPr>
    </w:p>
    <w:p>
      <w:pPr>
        <w:ind w:right="140" w:firstLine="8"/>
        <w:spacing w:after="0" w:line="249" w:lineRule="auto"/>
        <w:tabs>
          <w:tab w:leader="none" w:pos="345"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reported represent the grant date fair value of option awards granted to our non-employee directors during the year ended December 31, 2024, as computed in accordance with FASB ASC 718, rather than amounts paid to or realized by the individual. See Note 10 of the financial statements included in this Annual Report on Form 10-K for the assumptions used in calculating this amount.</w:t>
      </w:r>
    </w:p>
    <w:p>
      <w:pPr>
        <w:spacing w:after="0" w:line="2"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of December 31, 2024, our non-employee directors held the following option awards and did not hold any stock awards: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4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 Underlying Option</w:t>
            </w: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5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Awards</w:t>
            </w: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Mert Aktar</w:t>
            </w:r>
          </w:p>
        </w:tc>
        <w:tc>
          <w:tcPr>
            <w:tcW w:w="4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87,741</w:t>
            </w: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Clark</w:t>
            </w:r>
          </w:p>
        </w:tc>
        <w:tc>
          <w:tcPr>
            <w:tcW w:w="4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364,398</w:t>
            </w: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Fred E. Cohen, M.D., D.Phil.</w:t>
            </w:r>
          </w:p>
        </w:tc>
        <w:tc>
          <w:tcPr>
            <w:tcW w:w="4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32,959</w:t>
            </w: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 Liapis, Ph.D.</w:t>
            </w:r>
          </w:p>
        </w:tc>
        <w:tc>
          <w:tcPr>
            <w:tcW w:w="4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Beth Seidenberg, M.D.</w:t>
            </w:r>
          </w:p>
        </w:tc>
        <w:tc>
          <w:tcPr>
            <w:tcW w:w="4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32,959</w:t>
            </w: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 Shaw</w:t>
            </w:r>
          </w:p>
        </w:tc>
        <w:tc>
          <w:tcPr>
            <w:tcW w:w="4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66,592</w:t>
            </w: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K. Spiegelman</w:t>
            </w:r>
          </w:p>
        </w:tc>
        <w:tc>
          <w:tcPr>
            <w:tcW w:w="4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50,537</w:t>
            </w:r>
          </w:p>
        </w:tc>
      </w:tr>
    </w:tbl>
    <w:p>
      <w:pPr>
        <w:spacing w:after="0" w:line="198"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Aktar was appointed to our board of directors effective October 20, 2024.</w:t>
      </w:r>
    </w:p>
    <w:p>
      <w:pPr>
        <w:spacing w:after="0" w:line="27"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Kotzin resigned from our board of directors effective September 13, 2024.</w:t>
      </w:r>
    </w:p>
    <w:p>
      <w:pPr>
        <w:spacing w:after="0" w:line="9"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Liapis has opted not to accept compensation for his service on our board of directors.</w:t>
      </w:r>
    </w:p>
    <w:p>
      <w:pPr>
        <w:spacing w:after="0" w:line="9"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Ms. Shaw was appointed to our board of directors effective September 14, 2024.</w:t>
      </w:r>
    </w:p>
    <w:p>
      <w:pPr>
        <w:spacing w:after="0" w:line="9" w:lineRule="exact"/>
        <w:rPr>
          <w:rFonts w:ascii="Times New Roman" w:cs="Times New Roman" w:eastAsia="Times New Roman" w:hAnsi="Times New Roman"/>
          <w:sz w:val="18"/>
          <w:szCs w:val="18"/>
          <w:color w:val="231F20"/>
        </w:rPr>
      </w:pPr>
    </w:p>
    <w:p>
      <w:pPr>
        <w:ind w:right="80" w:firstLine="8"/>
        <w:spacing w:after="0" w:line="260" w:lineRule="auto"/>
        <w:tabs>
          <w:tab w:leader="none" w:pos="345"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reported represents consulting fees paid to Mr. Spiegelman for services provided to the Company from January 1, 2024 through February 7,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During 2024, our Compensation Committee consisted of Beth Seidenberg, M.D., Fred E. Cohen, M.D., D.Phil. and Steve Liapis, Ph.D. through October 19, 2024, and Dr. Seidenberg, Dr. Cohen and Christi Shaw commencing on October 20, 2024. None of the members of our Compensation Committee during 2024, nor any of the current members of our Compensation Committee, has at any time been one of our officers or employees. None of our executive officers currently serves, or in the past year has served, as a member of the board of directors or compensation committee of any entity that has one or more executive officers on our board of directors or Compensation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board of directors has adopted the Company’s Clawback Policy, or the Clawback Policy, effective as of February 7, 2024, applicable to our current and former executive officers, as defined in Exchange Act Rule 10D-1(d), in accordance with SEC rules and the applicable Nasdaq listing standards. This Clawback Policy applies to incentive-based compensation that is granted, earned or vested wholly or in part upon the attainment of one or more financial reporting measures (each, a “Financial Reporting Measure”) that is received by an executive officer (a) after beginning service as an executive officer, (b) who served as an executive officer at any time during the performance period for that compensation, (c) while we have a class of its securities listed on a national securities exchange or association and (d) during the three completed fiscal years immediately preceding the date on which we conclude, or reasonably should have concluded, that we are required to prepare a restatement with respect to any such Financial Reporting Measure. The Clawback Policy provides that, in the event of a restatement of our financial statements due to material noncompliance with financial reporting requirements, the administrator of the Clawback Policy will recover (subject to limited exceptions) the amount (as determined on a pre-tax basis) of incentive-based compensation erroneously received by an executive officer (i.e., in the event that the amount of such compensation was calculated based on the achievement of certain financial results that were subsequently revised due to the restatement, and the amount of the incentive-based compensation that would have been earned by such executive officer had the financial results been properly reported would have been lower than the amount actually paid).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spacing w:after="0" w:line="8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We have adopted an Insider Trading Policy, or the Insider Trading Policy, which provides guidelines to our employees, directors, officers and consultants with respect to transactions in our securities, including the purchase, sale and/or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Kyverna.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 Pledging and Similar Transactions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Our Insider Trading Policy also prohibits covered individuals, including our NEOs, from (i) making short sales of our securities, (ii) engaging in transactions in puts, calls or other derivative instruments related to our securities, (iii) engaging in any hedging or similar transaction designed to decrease the risks associated with holding our securities and (iv) purchasing our securities on margin or pledging our securities as collateral.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sets forth information with respect to the beneficial ownership of our common stock as of December 31, 2024, by:</w:t>
      </w:r>
    </w:p>
    <w:p>
      <w:pPr>
        <w:spacing w:after="0" w:line="117" w:lineRule="exact"/>
        <w:rPr>
          <w:sz w:val="20"/>
          <w:szCs w:val="20"/>
          <w:color w:val="auto"/>
        </w:rPr>
      </w:pPr>
    </w:p>
    <w:p>
      <w:pPr>
        <w:ind w:left="880" w:hanging="363"/>
        <w:spacing w:after="0"/>
        <w:tabs>
          <w:tab w:leader="none" w:pos="88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each person, or group of affiliated persons, known by us to be the beneficial owner of more than 5% of our outstanding shares common stock;</w:t>
      </w:r>
    </w:p>
    <w:p>
      <w:pPr>
        <w:spacing w:after="0" w:line="130" w:lineRule="exact"/>
        <w:rPr>
          <w:rFonts w:ascii="Times New Roman" w:cs="Times New Roman" w:eastAsia="Times New Roman" w:hAnsi="Times New Roman"/>
          <w:sz w:val="18"/>
          <w:szCs w:val="18"/>
          <w:color w:val="231F20"/>
        </w:rPr>
      </w:pPr>
    </w:p>
    <w:p>
      <w:pPr>
        <w:ind w:left="880" w:hanging="363"/>
        <w:spacing w:after="0"/>
        <w:tabs>
          <w:tab w:leader="none" w:pos="88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each of our named executive officers as set forth in the summary compensation table above</w:t>
      </w:r>
      <w:r>
        <w:rPr>
          <w:rFonts w:ascii="Times New Roman" w:cs="Times New Roman" w:eastAsia="Times New Roman" w:hAnsi="Times New Roman"/>
          <w:sz w:val="18"/>
          <w:szCs w:val="18"/>
          <w:color w:val="231F20"/>
        </w:rPr>
        <w:t>;</w:t>
      </w:r>
    </w:p>
    <w:p>
      <w:pPr>
        <w:spacing w:after="0" w:line="144" w:lineRule="exact"/>
        <w:rPr>
          <w:rFonts w:ascii="Times New Roman" w:cs="Times New Roman" w:eastAsia="Times New Roman" w:hAnsi="Times New Roman"/>
          <w:sz w:val="18"/>
          <w:szCs w:val="18"/>
          <w:color w:val="231F20"/>
        </w:rPr>
      </w:pPr>
    </w:p>
    <w:p>
      <w:pPr>
        <w:ind w:left="880" w:hanging="363"/>
        <w:spacing w:after="0"/>
        <w:tabs>
          <w:tab w:leader="none" w:pos="88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of our directors; and</w:t>
      </w:r>
    </w:p>
    <w:p>
      <w:pPr>
        <w:spacing w:after="0" w:line="144" w:lineRule="exact"/>
        <w:rPr>
          <w:rFonts w:ascii="Times New Roman" w:cs="Times New Roman" w:eastAsia="Times New Roman" w:hAnsi="Times New Roman"/>
          <w:sz w:val="18"/>
          <w:szCs w:val="18"/>
          <w:color w:val="231F20"/>
        </w:rPr>
      </w:pPr>
    </w:p>
    <w:p>
      <w:pPr>
        <w:ind w:left="880" w:hanging="363"/>
        <w:spacing w:after="0"/>
        <w:tabs>
          <w:tab w:leader="none" w:pos="88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of our current executive officers and directors as a group.</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We have determined beneficial ownership in accordance with the rules of the SEC, which generally means that a person has beneficial ownership of a security if he or she possesses sole or shared voting or investment power of that security, including options that are currently exercisable or exercisable within 60 days of December 31, 2024. Unless otherwise indicated, to our knowledge, the persons and entities named in the table below have sole voting and sole investment power with respect to all shares that they beneficially own, subject to community property laws where applicable. The information in the table below does not necessarily indicate beneficial ownership for any other purpose, including for purposes of Sections 13(d) and 13(g) of the Securities Act.</w:t>
      </w:r>
    </w:p>
    <w:p>
      <w:pPr>
        <w:spacing w:after="0" w:line="7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231F20"/>
        </w:rPr>
        <w:t>We have based our calculation of the percentage of shares beneficially owned on 43,214,918 shares of our common stock outstanding as of December 31, 2024.</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In computing the number of shares beneficially owned by an individual or entity and the percentage ownership of that person, shares of our common stock subject to options, convertible securities or other rights, held by such person that are currently exercisable or will become exercisable within 60 days of December 31, 2024, are considered outstanding. We did not, however, deem such shares outstanding for the purpose of computing the percentage ownership of any other person.</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Unless otherwise indicated, the address of each beneficial owner listed in the table below is c/o Kyverna Therapeutics, Inc., 5980 Horton St., STE 550 Emeryville, CA 94608.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4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 Shares Beneficially</w:t>
            </w: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 of Shares</w:t>
            </w:r>
          </w:p>
        </w:tc>
      </w:tr>
      <w:tr>
        <w:trPr>
          <w:trHeight w:val="238"/>
        </w:trPr>
        <w:tc>
          <w:tcPr>
            <w:tcW w:w="4940" w:type="dxa"/>
            <w:vAlign w:val="bottom"/>
          </w:tcPr>
          <w:p>
            <w:pPr>
              <w:spacing w:after="0"/>
              <w:rPr>
                <w:sz w:val="20"/>
                <w:szCs w:val="20"/>
                <w:color w:val="auto"/>
              </w:rPr>
            </w:pPr>
          </w:p>
        </w:tc>
        <w:tc>
          <w:tcPr>
            <w:tcW w:w="428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42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Bain Capital Life Sciences Opportunities III, LP</w:t>
            </w:r>
            <w:r>
              <w:rPr>
                <w:rFonts w:ascii="Times New Roman" w:cs="Times New Roman" w:eastAsia="Times New Roman" w:hAnsi="Times New Roman"/>
                <w:sz w:val="11"/>
                <w:szCs w:val="11"/>
                <w:color w:val="231F20"/>
              </w:rPr>
              <w:t>(1)</w:t>
            </w:r>
          </w:p>
        </w:tc>
        <w:tc>
          <w:tcPr>
            <w:tcW w:w="4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3,163,868</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231F20"/>
              </w:rPr>
              <w:t>Gilead Sciences, Inc.</w:t>
            </w:r>
            <w:r>
              <w:rPr>
                <w:rFonts w:ascii="Times New Roman" w:cs="Times New Roman" w:eastAsia="Times New Roman" w:hAnsi="Times New Roman"/>
                <w:sz w:val="11"/>
                <w:szCs w:val="11"/>
                <w:color w:val="231F20"/>
              </w:rPr>
              <w:t>(2)</w:t>
            </w:r>
          </w:p>
        </w:tc>
        <w:tc>
          <w:tcPr>
            <w:tcW w:w="42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4,126,119</w:t>
            </w:r>
          </w:p>
        </w:tc>
        <w:tc>
          <w:tcPr>
            <w:tcW w:w="2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Entities affiliated with Northpond Ventures III, LP</w:t>
            </w:r>
            <w:r>
              <w:rPr>
                <w:rFonts w:ascii="Times New Roman" w:cs="Times New Roman" w:eastAsia="Times New Roman" w:hAnsi="Times New Roman"/>
                <w:sz w:val="11"/>
                <w:szCs w:val="11"/>
                <w:color w:val="231F20"/>
              </w:rPr>
              <w:t>(3)</w:t>
            </w:r>
          </w:p>
        </w:tc>
        <w:tc>
          <w:tcPr>
            <w:tcW w:w="4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3,255,426</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Entities affiliated with Vida Ventures, LLC</w:t>
            </w:r>
            <w:r>
              <w:rPr>
                <w:rFonts w:ascii="Times New Roman" w:cs="Times New Roman" w:eastAsia="Times New Roman" w:hAnsi="Times New Roman"/>
                <w:sz w:val="11"/>
                <w:szCs w:val="11"/>
                <w:color w:val="231F20"/>
              </w:rPr>
              <w:t>(4)</w:t>
            </w:r>
          </w:p>
        </w:tc>
        <w:tc>
          <w:tcPr>
            <w:tcW w:w="42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4,777,060</w:t>
            </w:r>
          </w:p>
        </w:tc>
        <w:tc>
          <w:tcPr>
            <w:tcW w:w="2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Entities affiliated with Westlake BioPartners Fund I, L.P.</w:t>
            </w:r>
            <w:r>
              <w:rPr>
                <w:rFonts w:ascii="Times New Roman" w:cs="Times New Roman" w:eastAsia="Times New Roman" w:hAnsi="Times New Roman"/>
                <w:sz w:val="11"/>
                <w:szCs w:val="11"/>
                <w:color w:val="231F20"/>
              </w:rPr>
              <w:t>(5)</w:t>
            </w:r>
          </w:p>
        </w:tc>
        <w:tc>
          <w:tcPr>
            <w:tcW w:w="4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4,523,924</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231F20"/>
              </w:rPr>
              <w:t>JPMORGAN CHASE &amp; CO.</w:t>
            </w:r>
            <w:r>
              <w:rPr>
                <w:rFonts w:ascii="Times New Roman" w:cs="Times New Roman" w:eastAsia="Times New Roman" w:hAnsi="Times New Roman"/>
                <w:sz w:val="11"/>
                <w:szCs w:val="11"/>
                <w:color w:val="231F20"/>
              </w:rPr>
              <w:t>(6)</w:t>
            </w:r>
          </w:p>
        </w:tc>
        <w:tc>
          <w:tcPr>
            <w:tcW w:w="42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2,380,021</w:t>
            </w:r>
          </w:p>
        </w:tc>
        <w:tc>
          <w:tcPr>
            <w:tcW w:w="2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r>
      <w:tr>
        <w:trPr>
          <w:trHeight w:val="648"/>
        </w:trPr>
        <w:tc>
          <w:tcPr>
            <w:tcW w:w="4940" w:type="dxa"/>
            <w:vAlign w:val="bottom"/>
          </w:tcPr>
          <w:p>
            <w:pPr>
              <w:spacing w:after="0"/>
              <w:rPr>
                <w:sz w:val="24"/>
                <w:szCs w:val="24"/>
                <w:color w:val="auto"/>
              </w:rPr>
            </w:pPr>
          </w:p>
        </w:tc>
        <w:tc>
          <w:tcPr>
            <w:tcW w:w="428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144</w:t>
            </w:r>
          </w:p>
        </w:tc>
        <w:tc>
          <w:tcPr>
            <w:tcW w:w="202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3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Warner Biddle</w:t>
            </w:r>
          </w:p>
        </w:tc>
        <w:tc>
          <w:tcPr>
            <w:tcW w:w="340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231F20"/>
              </w:rPr>
              <w:t>—</w:t>
            </w: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Peter Maag, Ph.D.</w:t>
            </w:r>
            <w:r>
              <w:rPr>
                <w:rFonts w:ascii="Times New Roman" w:cs="Times New Roman" w:eastAsia="Times New Roman" w:hAnsi="Times New Roman"/>
                <w:sz w:val="11"/>
                <w:szCs w:val="11"/>
                <w:color w:val="231F20"/>
              </w:rPr>
              <w:t>(7)</w:t>
            </w:r>
          </w:p>
        </w:tc>
        <w:tc>
          <w:tcPr>
            <w:tcW w:w="3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911,677</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Dominic Borie, M.D., Ph.D. </w:t>
            </w:r>
            <w:r>
              <w:rPr>
                <w:rFonts w:ascii="Times New Roman" w:cs="Times New Roman" w:eastAsia="Times New Roman" w:hAnsi="Times New Roman"/>
                <w:sz w:val="11"/>
                <w:szCs w:val="11"/>
                <w:color w:val="231F20"/>
              </w:rPr>
              <w:t>(8)</w:t>
            </w:r>
          </w:p>
        </w:tc>
        <w:tc>
          <w:tcPr>
            <w:tcW w:w="340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499,706</w:t>
            </w: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Karen Walker</w:t>
            </w:r>
            <w:r>
              <w:rPr>
                <w:rFonts w:ascii="Times New Roman" w:cs="Times New Roman" w:eastAsia="Times New Roman" w:hAnsi="Times New Roman"/>
                <w:sz w:val="11"/>
                <w:szCs w:val="11"/>
                <w:color w:val="231F20"/>
              </w:rPr>
              <w:t>(9)</w:t>
            </w:r>
          </w:p>
        </w:tc>
        <w:tc>
          <w:tcPr>
            <w:tcW w:w="3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111,332</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James Chung, M.D., Ph.D.</w:t>
            </w:r>
            <w:r>
              <w:rPr>
                <w:rFonts w:ascii="Times New Roman" w:cs="Times New Roman" w:eastAsia="Times New Roman" w:hAnsi="Times New Roman"/>
                <w:sz w:val="11"/>
                <w:szCs w:val="11"/>
                <w:color w:val="231F20"/>
              </w:rPr>
              <w:t>(10)</w:t>
            </w:r>
          </w:p>
        </w:tc>
        <w:tc>
          <w:tcPr>
            <w:tcW w:w="340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88,947</w:t>
            </w: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Ian Clark</w:t>
            </w:r>
            <w:r>
              <w:rPr>
                <w:rFonts w:ascii="Times New Roman" w:cs="Times New Roman" w:eastAsia="Times New Roman" w:hAnsi="Times New Roman"/>
                <w:sz w:val="11"/>
                <w:szCs w:val="11"/>
                <w:color w:val="231F20"/>
              </w:rPr>
              <w:t>(11)</w:t>
            </w:r>
          </w:p>
        </w:tc>
        <w:tc>
          <w:tcPr>
            <w:tcW w:w="3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270,767</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Fred E. Cohen, M.D.</w:t>
            </w:r>
            <w:r>
              <w:rPr>
                <w:rFonts w:ascii="Times New Roman" w:cs="Times New Roman" w:eastAsia="Times New Roman" w:hAnsi="Times New Roman"/>
                <w:sz w:val="11"/>
                <w:szCs w:val="11"/>
                <w:color w:val="231F20"/>
              </w:rPr>
              <w:t>(12)</w:t>
            </w:r>
          </w:p>
        </w:tc>
        <w:tc>
          <w:tcPr>
            <w:tcW w:w="340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4,533,538</w:t>
            </w: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Christi Shaw</w:t>
            </w:r>
            <w:r>
              <w:rPr>
                <w:rFonts w:ascii="Times New Roman" w:cs="Times New Roman" w:eastAsia="Times New Roman" w:hAnsi="Times New Roman"/>
                <w:sz w:val="11"/>
                <w:szCs w:val="11"/>
                <w:color w:val="231F20"/>
              </w:rPr>
              <w:t>(11)</w:t>
            </w:r>
          </w:p>
        </w:tc>
        <w:tc>
          <w:tcPr>
            <w:tcW w:w="3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231F20"/>
              </w:rPr>
              <w:t>9,248</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Mert Aktar</w:t>
            </w:r>
            <w:r>
              <w:rPr>
                <w:rFonts w:ascii="Times New Roman" w:cs="Times New Roman" w:eastAsia="Times New Roman" w:hAnsi="Times New Roman"/>
                <w:sz w:val="11"/>
                <w:szCs w:val="11"/>
                <w:color w:val="231F20"/>
              </w:rPr>
              <w:t>(11)</w:t>
            </w:r>
          </w:p>
        </w:tc>
        <w:tc>
          <w:tcPr>
            <w:tcW w:w="340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231F20"/>
              </w:rPr>
              <w:t>9,749</w:t>
            </w: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Steve Liapis, Ph.D.</w:t>
            </w:r>
          </w:p>
        </w:tc>
        <w:tc>
          <w:tcPr>
            <w:tcW w:w="3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231F20"/>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Daniel K. Spiegelman</w:t>
            </w:r>
            <w:r>
              <w:rPr>
                <w:rFonts w:ascii="Times New Roman" w:cs="Times New Roman" w:eastAsia="Times New Roman" w:hAnsi="Times New Roman"/>
                <w:sz w:val="11"/>
                <w:szCs w:val="11"/>
                <w:color w:val="231F20"/>
              </w:rPr>
              <w:t>(11)</w:t>
            </w:r>
          </w:p>
        </w:tc>
        <w:tc>
          <w:tcPr>
            <w:tcW w:w="340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26,460</w:t>
            </w:r>
          </w:p>
        </w:tc>
        <w:tc>
          <w:tcPr>
            <w:tcW w:w="1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Beth Seidenberg, M.D.</w:t>
            </w:r>
            <w:r>
              <w:rPr>
                <w:rFonts w:ascii="Times New Roman" w:cs="Times New Roman" w:eastAsia="Times New Roman" w:hAnsi="Times New Roman"/>
                <w:sz w:val="11"/>
                <w:szCs w:val="11"/>
                <w:color w:val="231F20"/>
              </w:rPr>
              <w:t>(13)</w:t>
            </w:r>
          </w:p>
        </w:tc>
        <w:tc>
          <w:tcPr>
            <w:tcW w:w="34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4,533,538</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231F20"/>
              </w:rPr>
              <w:t>All executive officers and directors as a group (11 persons)</w:t>
            </w:r>
            <w:r>
              <w:rPr>
                <w:rFonts w:ascii="Times New Roman" w:cs="Times New Roman" w:eastAsia="Times New Roman" w:hAnsi="Times New Roman"/>
                <w:sz w:val="11"/>
                <w:szCs w:val="11"/>
                <w:color w:val="231F20"/>
              </w:rPr>
              <w:t>(14)</w:t>
            </w:r>
          </w:p>
        </w:tc>
        <w:tc>
          <w:tcPr>
            <w:tcW w:w="340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9,584,269</w:t>
            </w: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21.9%</w:t>
            </w:r>
          </w:p>
        </w:tc>
      </w:tr>
      <w:tr>
        <w:trPr>
          <w:trHeight w:val="245"/>
        </w:trPr>
        <w:tc>
          <w:tcPr>
            <w:tcW w:w="642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_______________</w:t>
            </w:r>
          </w:p>
        </w:tc>
        <w:tc>
          <w:tcPr>
            <w:tcW w:w="34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tabs>
          <w:tab w:leader="none" w:pos="340" w:val="left"/>
        </w:tabs>
        <w:rPr>
          <w:sz w:val="20"/>
          <w:szCs w:val="20"/>
          <w:color w:val="auto"/>
        </w:rPr>
      </w:pPr>
      <w:r>
        <w:rPr>
          <w:rFonts w:ascii="Times New Roman" w:cs="Times New Roman" w:eastAsia="Times New Roman" w:hAnsi="Times New Roman"/>
          <w:sz w:val="18"/>
          <w:szCs w:val="18"/>
          <w:color w:val="231F20"/>
        </w:rPr>
        <w:t>*</w:t>
        <w:tab/>
        <w:t>Represents beneficial ownership of less than 1%.</w:t>
      </w:r>
    </w:p>
    <w:p>
      <w:pPr>
        <w:spacing w:after="0" w:line="7" w:lineRule="exact"/>
        <w:rPr>
          <w:sz w:val="20"/>
          <w:szCs w:val="20"/>
          <w:color w:val="auto"/>
        </w:rPr>
      </w:pPr>
    </w:p>
    <w:p>
      <w:pPr>
        <w:ind w:right="20" w:firstLine="8"/>
        <w:spacing w:after="0" w:line="250" w:lineRule="auto"/>
        <w:tabs>
          <w:tab w:leader="none" w:pos="34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Number of shares beneficially owned as of February 7, 2024, as reported in a Schedule 13G filed by Bain Capital Life Sciences Opportunities III, LP on February 14, 2024. Bain Capital Life Sciences Investors, LLC (“BCLSI”) is the manager of Bain Capital Life Sciences III General Partner, LLC, which is the general partner of Bain Capital Life Sciences Fund III, L.P., which is the sole member of Bain Capital Life Sciences Opportunities III GP, LLC, which is the general partner of Bain Capital Life Sciences Opportunities III, LP. As a result, BCLSI may be deemed to share voting and dispositive power with respect to the shares held by Bain Capital Life Sciences Opportunities III, LP. Voting and investment decisions with respect to shares held by Bain Capital Life Sciences Opportunities III, L.P. are made by the partners of BCLSI, of whom there are three or more and none of whom individually has the power to direct such decisions. The address of Bain Capital Life Sciences Opportunities III, LP is c/o Bain Capital Life Sciences, LP, 200 Clarendon Street, Boston, MA 02116.</w:t>
      </w:r>
    </w:p>
    <w:p>
      <w:pPr>
        <w:spacing w:after="0" w:line="3" w:lineRule="exact"/>
        <w:rPr>
          <w:rFonts w:ascii="Times New Roman" w:cs="Times New Roman" w:eastAsia="Times New Roman" w:hAnsi="Times New Roman"/>
          <w:sz w:val="18"/>
          <w:szCs w:val="18"/>
          <w:color w:val="231F20"/>
        </w:rPr>
      </w:pPr>
    </w:p>
    <w:p>
      <w:pPr>
        <w:ind w:right="40" w:firstLine="8"/>
        <w:spacing w:after="0" w:line="250" w:lineRule="auto"/>
        <w:tabs>
          <w:tab w:leader="none" w:pos="34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Number of shares beneficially owned as of February 12, 2024, as reported in a Schedule 13G filed by Gilead Sciences, Inc. on February 20, 2024. The principal business address of Gilead Sciences, Inc. is 333 Lakeside Drive, Foster City, CA 94404.</w:t>
      </w:r>
    </w:p>
    <w:p>
      <w:pPr>
        <w:ind w:right="60" w:firstLine="8"/>
        <w:spacing w:after="0" w:line="250" w:lineRule="auto"/>
        <w:tabs>
          <w:tab w:leader="none" w:pos="34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Number of shares beneficially owned as of February 12, 2024, as reported in a Schedule 13G filed by Northpond Ventures, LP (“Northpond”), Northpond Ventures GP, LLC (“Northpond GP”), Northpond Ventures III, LP (“Northpond III”), Northpond Ventures III GP, LLC (“Northpond III GP”) and Michael P. Rubin on February 22, 2024. Consists of: (i) 450,000 shares held by Northpond, and (ii) 2,805,426 shares of common stock held by Northpond III. Northpond GP is the general partner of Northpond and Mr. Rubin is the managing member of Northpond GP. As such, Northpond GP and Mr. Rubin have shared dispositive and voting power over the shares held by Northpond and may be deemed to have indirect beneficial ownership of the shares held by Northpond. Northpond III GP is the general partner of Northpond III and Mr. Rubin is the managing member of Northpond III GP. As such, Northpond III GP and Mr. Rubin have shared dispositive and voting power over the shares held by Northpond III and may be deemed to have indirect beneficial ownership of the shares held by Northpond III. The address for each of these entities is 7500 Old Georgetown Rd, Suite 850, Bethesda, MD 20814.</w:t>
      </w:r>
    </w:p>
    <w:p>
      <w:pPr>
        <w:spacing w:after="0" w:line="3" w:lineRule="exact"/>
        <w:rPr>
          <w:rFonts w:ascii="Times New Roman" w:cs="Times New Roman" w:eastAsia="Times New Roman" w:hAnsi="Times New Roman"/>
          <w:sz w:val="18"/>
          <w:szCs w:val="18"/>
          <w:color w:val="231F20"/>
        </w:rPr>
      </w:pPr>
    </w:p>
    <w:p>
      <w:pPr>
        <w:ind w:right="20" w:firstLine="8"/>
        <w:spacing w:after="0" w:line="251" w:lineRule="auto"/>
        <w:tabs>
          <w:tab w:leader="none" w:pos="34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Number of shares beneficially owned as of February 12, 2024, as reported in a Schedule 13D filed by Vida Ventures, LLC (“Vida I”), VV Manager LLC (“Vida I GP”), Vida Ventures III, L.P. (“Vida III”), Vida Ventures III-A, L.P. (“Vida III-A”), Vida Ventures GP III, L.L.C. (“Vida III GP”) and Fred E. Cohen, M.D., D.Phil. on May 3, 2024. Consists of: (i) 4,523,924 shares of common stock held by Vida I, (ii) 252,553 shares held by Vida III, and (iii) 583 shares held by Vida III-A. Vida I GP is the general partner of Vida I and may be deemed to have voting, investment and dispositive power with respect to these securities. Vida III GP is the general partner of each of Vida III and Vida III-A and may be deemed to have voting, investment, and dispositive power with respect to these securities. Arie Belldegrun, Leonard Potter and Dr. Cohen (a member of our board of directors) are the members of the investment committee of Vida I GP (the “Vida I Investment Committee”). Each of the Vida I Investment Committee and the members thereof may be deemed to share voting, investment and dispositive power with respect to these securities held by Vida I. Arie Belldegrun, Helen Kim, Arjun Goyal, Rajul Jain and Stefan Vitorovic are the members of the investment committee of Vida III GP (the “Vida III Investment Committee”). Each of the Vida III Investment Committee and the members thereof may be deemed to share voting, investment and dispositive power with respect to these securities held by each of Vida III and Vida III-A. The address of Vida, Vida I GP, Vida III, Vida III-A and Vida III GP is 40 Broad Street, Suite 201, Boston, Massachusetts 02109.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ind w:right="40" w:firstLine="8"/>
        <w:spacing w:after="0" w:line="253" w:lineRule="auto"/>
        <w:tabs>
          <w:tab w:leader="none" w:pos="34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Number of shares beneficially owned as of September 30, 2024, as reported in a Schedule 13G filed by Westlake BioPartners Fund I, L.P. (“Westlake Fund I”), Westlake BioPartners GP I, LLC (“Westlake GP I”), Westlake BioPartners Opportunity Fund I, L.P. (“Westlake Opportunity Fund I”), Westlake BioPartners Opportunity GP I, LLC (“Westlake Opportunity GP I”), Beth Seidenberg, M.D., a member of our board of directors, and Dr. Sean E. Harper on November 12, 2024. Consists of: (i) 3,787,940 shares of common stock held by Westlake Fund I, and (ii) 735,984 shares of common stock held by Westlake Opportunity Fund I. Westlake GP I and Westlake Opportunity GP I, the general partners of Westlake Fund I and Westlake Opportunity Fund I, respectively, may be deemed to have sole dispositive power over such shares, and Dr. Seidenberg and Dr. Harper, the managing directors of Westlake GP I and Westlake Opportunity GP I, may be deemed to have shared power to dispose of the shares held by Westlake Fund I and Westlake Opportunity Fund I. The address for Westlake Fund I and Westlake Opportunity Fund I is 3075 Townsgate Rd., Suite 140, Westlake Village, CA 91361.</w:t>
      </w:r>
    </w:p>
    <w:p>
      <w:pPr>
        <w:ind w:right="140" w:firstLine="8"/>
        <w:spacing w:after="0" w:line="250" w:lineRule="auto"/>
        <w:tabs>
          <w:tab w:leader="none" w:pos="34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JPMORGAN CHASE &amp; CO. filed a Schedule 13G with the SEC on October 10, 2024, reporting that, as of September 30, 2024, it had sole voting power with respect to 2,037,226 shares of common stock and sole dispositive power with respect to 2,380,021 shares of common stock in its capacity as a parent holding company in accordance with Rule 13d-1(b)(1)(ii)(G) under the Exchange Act. The principal business address of JPMORGAN CHASE &amp; CO. is 383 Madison Avenue, New York, NY 10179.</w:t>
      </w:r>
    </w:p>
    <w:p>
      <w:pPr>
        <w:spacing w:after="0" w:line="1" w:lineRule="exact"/>
        <w:rPr>
          <w:rFonts w:ascii="Times New Roman" w:cs="Times New Roman" w:eastAsia="Times New Roman" w:hAnsi="Times New Roman"/>
          <w:sz w:val="18"/>
          <w:szCs w:val="18"/>
          <w:color w:val="231F20"/>
        </w:rPr>
      </w:pPr>
    </w:p>
    <w:p>
      <w:pPr>
        <w:ind w:right="100" w:firstLine="8"/>
        <w:spacing w:after="0" w:line="250" w:lineRule="auto"/>
        <w:tabs>
          <w:tab w:leader="none" w:pos="34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407,541 shares of our common stock currently held and (ii) 504,136 shares of our common stock subject to options that are exercisable within 60 days of December 31, 2024.</w:t>
      </w:r>
    </w:p>
    <w:p>
      <w:pPr>
        <w:ind w:right="440" w:firstLine="8"/>
        <w:spacing w:after="0" w:line="250" w:lineRule="auto"/>
        <w:tabs>
          <w:tab w:leader="none" w:pos="34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449,210 shares of our common stock currently held by a family trust of which Dr. Borie is the trustee and (ii) 50,496 shares of our common stock subject to options that are exercisable within 60 days of December 31, 2024.</w:t>
      </w:r>
    </w:p>
    <w:p>
      <w:pPr>
        <w:ind w:right="260" w:firstLine="8"/>
        <w:spacing w:after="0" w:line="250" w:lineRule="auto"/>
        <w:tabs>
          <w:tab w:leader="none" w:pos="36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Consists of (i) 9,636 shares of our common stock currently held and (ii) 101,696 shares of our common stock subject to options that are exercisable within 60 days of December 31, 2024</w:t>
      </w:r>
      <w:r>
        <w:rPr>
          <w:rFonts w:ascii="Times New Roman" w:cs="Times New Roman" w:eastAsia="Times New Roman" w:hAnsi="Times New Roman"/>
          <w:sz w:val="18"/>
          <w:szCs w:val="18"/>
          <w:color w:val="231F20"/>
        </w:rPr>
        <w:t>.</w:t>
      </w:r>
    </w:p>
    <w:p>
      <w:pPr>
        <w:ind w:right="280" w:firstLine="8"/>
        <w:spacing w:after="0" w:line="250" w:lineRule="auto"/>
        <w:tabs>
          <w:tab w:leader="none" w:pos="34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65,918 shares of our common stock currently held and (ii) 23,029 shares of our common stock subject to options that are exercisable within 60 days of December 31, 2024.</w:t>
      </w:r>
    </w:p>
    <w:p>
      <w:pPr>
        <w:ind w:left="360" w:hanging="352"/>
        <w:spacing w:after="0"/>
        <w:tabs>
          <w:tab w:leader="none" w:pos="36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solely of shares of our common stock subject to options that are exercisable within 60 days of December 31, 2024.</w:t>
      </w:r>
    </w:p>
    <w:p>
      <w:pPr>
        <w:spacing w:after="0" w:line="9" w:lineRule="exact"/>
        <w:rPr>
          <w:rFonts w:ascii="Times New Roman" w:cs="Times New Roman" w:eastAsia="Times New Roman" w:hAnsi="Times New Roman"/>
          <w:sz w:val="18"/>
          <w:szCs w:val="18"/>
          <w:color w:val="231F20"/>
        </w:rPr>
      </w:pPr>
    </w:p>
    <w:p>
      <w:pPr>
        <w:ind w:right="280" w:firstLine="8"/>
        <w:spacing w:after="0" w:line="250" w:lineRule="auto"/>
        <w:tabs>
          <w:tab w:leader="none" w:pos="34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4,523,924 shares of common stock held by Vida I listed in footnote (4) above, and (ii) 9,614 shares of our common stock subject to options that are exercisable within 60 days of December 31, 2024. Dr. Cohen, a member of our board of directors, is a member of the Vida I Investment Committee, and may be deemed to share voting and dispositive power over the shares held by Vida I.</w:t>
      </w:r>
    </w:p>
    <w:p>
      <w:pPr>
        <w:spacing w:after="0" w:line="1" w:lineRule="exact"/>
        <w:rPr>
          <w:rFonts w:ascii="Times New Roman" w:cs="Times New Roman" w:eastAsia="Times New Roman" w:hAnsi="Times New Roman"/>
          <w:sz w:val="18"/>
          <w:szCs w:val="18"/>
          <w:color w:val="231F20"/>
        </w:rPr>
      </w:pPr>
    </w:p>
    <w:p>
      <w:pPr>
        <w:ind w:right="120" w:firstLine="8"/>
        <w:spacing w:after="0" w:line="250" w:lineRule="auto"/>
        <w:tabs>
          <w:tab w:leader="none" w:pos="34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the 4,523,924 shares listed in footnote (5) above as held by Westlake Fund I and Westlake Opportunity Fund I and (ii) 9,614 shares of our common stock subject to options that are exercisable within 60 days of December 31, 2024. Dr. Seidenberg, a member of our Board, is a managing director of Westlake GP I and Westlake Opportunity GP I, and may be deemed to have shared power to dispose of the shares held by Westlake Fund I and Westlake Opportunity Fund I.</w:t>
      </w:r>
    </w:p>
    <w:p>
      <w:pPr>
        <w:spacing w:after="0" w:line="1" w:lineRule="exact"/>
        <w:rPr>
          <w:rFonts w:ascii="Times New Roman" w:cs="Times New Roman" w:eastAsia="Times New Roman" w:hAnsi="Times New Roman"/>
          <w:sz w:val="18"/>
          <w:szCs w:val="18"/>
          <w:color w:val="231F20"/>
        </w:rPr>
      </w:pPr>
    </w:p>
    <w:p>
      <w:pPr>
        <w:jc w:val="both"/>
        <w:ind w:right="20" w:firstLine="8"/>
        <w:spacing w:after="0" w:line="255" w:lineRule="auto"/>
        <w:tabs>
          <w:tab w:leader="none" w:pos="34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9,101,434 shares of common stock beneficially owned by our current executive officers and directors (which includes an aggregate of 43,950 beneficially owned by one additional executive officer), and (ii) 482,835 shares of our common stock subject to options that are exercisable within 60 days of December 31, 2024 (which includes an aggregate of 45,687 shares of common stock subject to options held by one additional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table sets forth additional information as of December 31, 2024 with respect to the shares of common stock that may be issued upon the exercise of options and other rights under our existing equity compensation plans and arrangements in effect as of December 31, 2024. The information includes the number of shares covered by, and the weighted average exercise price of, outstanding options, the number of shares subject to restricted stock unit awards and the number of shares remaining available for future grant, excluding the shares to be issued upon exercise of outstanding options.</w:t>
      </w:r>
    </w:p>
    <w:tbl>
      <w:tblPr>
        <w:tblLayout w:type="fixed"/>
        <w:tblInd w:w="0" w:type="dxa"/>
        <w:tblCellMar>
          <w:top w:w="0" w:type="dxa"/>
          <w:left w:w="0" w:type="dxa"/>
          <w:bottom w:w="0" w:type="dxa"/>
          <w:right w:w="0" w:type="dxa"/>
        </w:tblCellMar>
      </w:tblPr>
      <w:tr>
        <w:trPr>
          <w:trHeight w:val="196"/>
        </w:trPr>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Number of securities to be issued</w:t>
            </w:r>
          </w:p>
        </w:tc>
        <w:tc>
          <w:tcPr>
            <w:tcW w:w="2900" w:type="dxa"/>
            <w:vAlign w:val="bottom"/>
            <w:gridSpan w:val="2"/>
          </w:tcPr>
          <w:p>
            <w:pPr>
              <w:jc w:val="center"/>
              <w:ind w:left="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Weighted-average exercise price of</w:t>
            </w:r>
          </w:p>
        </w:tc>
        <w:tc>
          <w:tcPr>
            <w:tcW w:w="220" w:type="dxa"/>
            <w:vAlign w:val="bottom"/>
          </w:tcPr>
          <w:p>
            <w:pPr>
              <w:spacing w:after="0"/>
              <w:rPr>
                <w:sz w:val="17"/>
                <w:szCs w:val="17"/>
                <w:color w:val="auto"/>
              </w:rPr>
            </w:pPr>
          </w:p>
        </w:tc>
        <w:tc>
          <w:tcPr>
            <w:tcW w:w="2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10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upon exercise of outstanding</w:t>
            </w: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 warrants and</w:t>
            </w:r>
          </w:p>
        </w:tc>
        <w:tc>
          <w:tcPr>
            <w:tcW w:w="22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c>
          <w:tcPr>
            <w:tcW w:w="10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2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warrants and rights (a)</w:t>
            </w:r>
          </w:p>
        </w:tc>
        <w:tc>
          <w:tcPr>
            <w:tcW w:w="20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2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100" w:type="dxa"/>
            <w:vAlign w:val="bottom"/>
          </w:tcPr>
          <w:p>
            <w:pPr>
              <w:spacing w:after="0"/>
              <w:rPr>
                <w:sz w:val="20"/>
                <w:szCs w:val="20"/>
                <w:color w:val="auto"/>
              </w:rPr>
            </w:pPr>
          </w:p>
        </w:tc>
      </w:tr>
      <w:tr>
        <w:trPr>
          <w:trHeight w:val="641"/>
        </w:trPr>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00" w:type="dxa"/>
            <w:vAlign w:val="bottom"/>
            <w:gridSpan w:val="2"/>
          </w:tcPr>
          <w:p>
            <w:pPr>
              <w:jc w:val="right"/>
              <w:ind w:right="2290"/>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(excluding securities reflected in</w:t>
            </w:r>
          </w:p>
        </w:tc>
        <w:tc>
          <w:tcPr>
            <w:tcW w:w="0" w:type="dxa"/>
            <w:vAlign w:val="bottom"/>
          </w:tcPr>
          <w:p>
            <w:pPr>
              <w:spacing w:after="0"/>
              <w:rPr>
                <w:sz w:val="1"/>
                <w:szCs w:val="1"/>
                <w:color w:val="auto"/>
              </w:rPr>
            </w:pPr>
          </w:p>
        </w:tc>
      </w:tr>
      <w:tr>
        <w:trPr>
          <w:trHeight w:val="238"/>
        </w:trPr>
        <w:tc>
          <w:tcPr>
            <w:tcW w:w="2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171"/>
        </w:trPr>
        <w:tc>
          <w:tcPr>
            <w:tcW w:w="2440" w:type="dxa"/>
            <w:vAlign w:val="bottom"/>
            <w:shd w:val="clear" w:color="auto" w:fill="CFF0FC"/>
          </w:tcPr>
          <w:p>
            <w:pPr>
              <w:ind w:left="120"/>
              <w:spacing w:after="0" w:line="171" w:lineRule="exact"/>
              <w:rPr>
                <w:sz w:val="20"/>
                <w:szCs w:val="20"/>
                <w:color w:val="auto"/>
              </w:rPr>
            </w:pPr>
            <w:r>
              <w:rPr>
                <w:rFonts w:ascii="Times New Roman" w:cs="Times New Roman" w:eastAsia="Times New Roman" w:hAnsi="Times New Roman"/>
                <w:sz w:val="18"/>
                <w:szCs w:val="18"/>
                <w:color w:val="auto"/>
              </w:rPr>
              <w:t>Equity Compensation Plans</w:t>
            </w:r>
          </w:p>
        </w:tc>
        <w:tc>
          <w:tcPr>
            <w:tcW w:w="3000" w:type="dxa"/>
            <w:vAlign w:val="bottom"/>
            <w:gridSpan w:val="2"/>
            <w:shd w:val="clear" w:color="auto" w:fill="CFF0FC"/>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5,215,664</w:t>
            </w:r>
          </w:p>
        </w:tc>
        <w:tc>
          <w:tcPr>
            <w:tcW w:w="2200" w:type="dxa"/>
            <w:vAlign w:val="bottom"/>
            <w:shd w:val="clear" w:color="auto" w:fill="CFF0FC"/>
          </w:tcPr>
          <w:p>
            <w:pPr>
              <w:jc w:val="right"/>
              <w:ind w:right="90"/>
              <w:spacing w:after="0" w:line="17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20"/>
              <w:spacing w:after="0" w:line="171" w:lineRule="exact"/>
              <w:rPr>
                <w:sz w:val="20"/>
                <w:szCs w:val="20"/>
                <w:color w:val="auto"/>
              </w:rPr>
            </w:pPr>
            <w:r>
              <w:rPr>
                <w:rFonts w:ascii="Times New Roman" w:cs="Times New Roman" w:eastAsia="Times New Roman" w:hAnsi="Times New Roman"/>
                <w:sz w:val="15"/>
                <w:szCs w:val="15"/>
                <w:color w:val="auto"/>
              </w:rPr>
              <w:t>4.75</w:t>
            </w:r>
            <w:r>
              <w:rPr>
                <w:rFonts w:ascii="Times New Roman" w:cs="Times New Roman" w:eastAsia="Times New Roman" w:hAnsi="Times New Roman"/>
                <w:sz w:val="19"/>
                <w:szCs w:val="19"/>
                <w:color w:val="auto"/>
                <w:vertAlign w:val="superscript"/>
              </w:rPr>
              <w:t>(3)</w:t>
            </w:r>
          </w:p>
        </w:tc>
        <w:tc>
          <w:tcPr>
            <w:tcW w:w="2780" w:type="dxa"/>
            <w:vAlign w:val="bottom"/>
            <w:tcBorders>
              <w:top w:val="single" w:sz="8" w:color="auto"/>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2,491,968</w:t>
            </w:r>
            <w:r>
              <w:rPr>
                <w:rFonts w:ascii="Times New Roman" w:cs="Times New Roman" w:eastAsia="Times New Roman" w:hAnsi="Times New Roman"/>
                <w:sz w:val="19"/>
                <w:szCs w:val="19"/>
                <w:color w:val="auto"/>
                <w:vertAlign w:val="superscript"/>
              </w:rPr>
              <w:t>(4)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40" w:type="dxa"/>
            <w:vAlign w:val="bottom"/>
            <w:shd w:val="clear" w:color="auto" w:fill="CFF0FC"/>
          </w:tcPr>
          <w:p>
            <w:pPr>
              <w:ind w:left="120"/>
              <w:spacing w:after="0" w:line="200" w:lineRule="exact"/>
              <w:rPr>
                <w:sz w:val="20"/>
                <w:szCs w:val="20"/>
                <w:color w:val="auto"/>
              </w:rPr>
            </w:pPr>
            <w:r>
              <w:rPr>
                <w:rFonts w:ascii="Times New Roman" w:cs="Times New Roman" w:eastAsia="Times New Roman" w:hAnsi="Times New Roman"/>
                <w:sz w:val="17"/>
                <w:szCs w:val="17"/>
                <w:color w:val="auto"/>
              </w:rPr>
              <w:t>Approved by Stockholders</w:t>
            </w:r>
            <w:r>
              <w:rPr>
                <w:rFonts w:ascii="Times New Roman" w:cs="Times New Roman" w:eastAsia="Times New Roman" w:hAnsi="Times New Roman"/>
                <w:sz w:val="23"/>
                <w:szCs w:val="23"/>
                <w:color w:val="auto"/>
                <w:vertAlign w:val="superscript"/>
              </w:rPr>
              <w:t>(1)</w:t>
            </w:r>
          </w:p>
        </w:tc>
        <w:tc>
          <w:tcPr>
            <w:tcW w:w="2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(2)</w:t>
            </w:r>
          </w:p>
        </w:tc>
        <w:tc>
          <w:tcPr>
            <w:tcW w:w="28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20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7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2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Not Approved by</w:t>
            </w:r>
          </w:p>
        </w:tc>
        <w:tc>
          <w:tcPr>
            <w:tcW w:w="2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4"/>
                <w:szCs w:val="24"/>
                <w:color w:val="auto"/>
                <w:vertAlign w:val="superscript"/>
              </w:rPr>
              <w:t>(5)</w:t>
            </w:r>
          </w:p>
        </w:tc>
        <w:tc>
          <w:tcPr>
            <w:tcW w:w="2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2,929,259</w:t>
            </w: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6.65</w:t>
            </w:r>
          </w:p>
        </w:tc>
        <w:tc>
          <w:tcPr>
            <w:tcW w:w="2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1,070,741</w:t>
            </w:r>
          </w:p>
        </w:tc>
        <w:tc>
          <w:tcPr>
            <w:tcW w:w="0" w:type="dxa"/>
            <w:vAlign w:val="bottom"/>
          </w:tcPr>
          <w:p>
            <w:pPr>
              <w:spacing w:after="0"/>
              <w:rPr>
                <w:sz w:val="1"/>
                <w:szCs w:val="1"/>
                <w:color w:val="auto"/>
              </w:rPr>
            </w:pPr>
          </w:p>
        </w:tc>
      </w:tr>
      <w:tr>
        <w:trPr>
          <w:trHeight w:val="154"/>
        </w:trPr>
        <w:tc>
          <w:tcPr>
            <w:tcW w:w="2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440" w:type="dxa"/>
            <w:vAlign w:val="bottom"/>
            <w:vMerge w:val="continue"/>
          </w:tcPr>
          <w:p>
            <w:pPr>
              <w:spacing w:after="0"/>
              <w:rPr>
                <w:sz w:val="19"/>
                <w:szCs w:val="19"/>
                <w:color w:val="auto"/>
              </w:rPr>
            </w:pPr>
          </w:p>
        </w:tc>
        <w:tc>
          <w:tcPr>
            <w:tcW w:w="2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8,144,923</w:t>
            </w:r>
          </w:p>
        </w:tc>
        <w:tc>
          <w:tcPr>
            <w:tcW w:w="200" w:type="dxa"/>
            <w:vAlign w:val="bottom"/>
          </w:tcPr>
          <w:p>
            <w:pPr>
              <w:spacing w:after="0"/>
              <w:rPr>
                <w:sz w:val="19"/>
                <w:szCs w:val="19"/>
                <w:color w:val="auto"/>
              </w:rPr>
            </w:pPr>
          </w:p>
        </w:tc>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19"/>
                <w:szCs w:val="19"/>
                <w:color w:val="auto"/>
              </w:rPr>
            </w:pPr>
          </w:p>
        </w:tc>
        <w:tc>
          <w:tcPr>
            <w:tcW w:w="2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_______________</w:t>
      </w:r>
    </w:p>
    <w:p>
      <w:pPr>
        <w:jc w:val="both"/>
        <w:ind w:right="200" w:firstLine="8"/>
        <w:spacing w:after="0" w:line="249" w:lineRule="auto"/>
        <w:tabs>
          <w:tab w:leader="none" w:pos="3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the Kyverna Therapeutics, Inc. 2019 Stock Plan, or the 2019 Plan, the 2024 Plan and the ESPP. Only stock options were outstanding under the 2019 Plan and stock options and restricted stock unit awards were outstanding under the 2024 Plan as of December 31, 2024. No new awards may be made under the 2019 Plan.</w:t>
      </w:r>
    </w:p>
    <w:p>
      <w:pPr>
        <w:spacing w:after="0" w:line="2" w:lineRule="exact"/>
        <w:rPr>
          <w:rFonts w:ascii="Times New Roman" w:cs="Times New Roman" w:eastAsia="Times New Roman" w:hAnsi="Times New Roman"/>
          <w:sz w:val="18"/>
          <w:szCs w:val="18"/>
          <w:color w:val="231F20"/>
        </w:rPr>
      </w:pPr>
    </w:p>
    <w:p>
      <w:pPr>
        <w:ind w:right="20" w:firstLine="8"/>
        <w:spacing w:after="0" w:line="250" w:lineRule="auto"/>
        <w:tabs>
          <w:tab w:leader="none" w:pos="3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2024 Plan and the ESPP contain “evergreen” provisions, pursuant to which (i) the number of shares of common stock reserved for issuance pursuant to awards under the 2024 Plan shall be increased on the first day of each year beginning in 2025 and ending in 2034, equal to the lesser of: (A) five percent (5.0%) of the shares of common stock outstanding on the last day of the immediately preceding fiscal year, and (B) such smaller number of shares of common stock as determined by our board of directors; and (ii) the number of shares of common stock which will be authorized for sale under the ESPP shall be increased on the first day of each year beginning in 2025 and ending in 2034, equal to the lesser of: (A) one percent (1.0%) of the shares of stock outstanding on the last day of the immediately preceding fiscal year, (B) 422,000 shares of our common stock (subject to adjustment for recapitalizations, stock splits and similar transactions), and (C) such smaller number of shares of stock as determined by our board of directors. On January 1, 2025, an additional 2,160,745 shares of our common stock were reserved for issuance pursuant to awards under the 2024 Plan pursuant to the “evergreen” provision, and an additional 422,000 shares of our common stock were reserved for issuance under the ESPP pursuant to the “evergreen” provisions.</w:t>
      </w:r>
    </w:p>
    <w:p>
      <w:pPr>
        <w:spacing w:after="0" w:line="3" w:lineRule="exact"/>
        <w:rPr>
          <w:rFonts w:ascii="Times New Roman" w:cs="Times New Roman" w:eastAsia="Times New Roman" w:hAnsi="Times New Roman"/>
          <w:sz w:val="18"/>
          <w:szCs w:val="18"/>
          <w:color w:val="231F20"/>
        </w:rPr>
      </w:pPr>
    </w:p>
    <w:p>
      <w:pPr>
        <w:ind w:right="120" w:firstLine="8"/>
        <w:spacing w:after="0" w:line="250" w:lineRule="auto"/>
        <w:tabs>
          <w:tab w:leader="none" w:pos="3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weighted-average exercise price does not take into account 549,001 shares of common stock subject to outstanding unvested restricted stock unit awards granted pursuant to the 2024 Plan.</w:t>
      </w:r>
    </w:p>
    <w:p>
      <w:pPr>
        <w:ind w:left="360" w:hanging="352"/>
        <w:spacing w:after="0"/>
        <w:tabs>
          <w:tab w:leader="none" w:pos="3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Excludes 422,000 shares that were available for future issuance under the ESPP as of December 31, 2024.</w:t>
      </w:r>
    </w:p>
    <w:p>
      <w:pPr>
        <w:spacing w:after="0" w:line="9"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Comprised of the Kyverna Therapeutics, Inc. 2024 Inducement Equity Incentive Plan.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The following is a summary of transactions since January 1, 2023 and any currently proposed transactions to which we have been a participant in which the amount involved exceeded or will exceed the lesser of $120,000 or 1% of the average of our total assets at year-end for the last two completed years, and in which any of our then directors, executive officers or holders of more than 5% of any class of our capital stock at the time of such transaction, or an affiliate or immediate family members thereof, had or will have a direct or indirect material interest, other than compensation arrangements which are described in Part III, Item 11 of this Annual Report on Form 10-K.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231F20"/>
        </w:rPr>
        <w:t>Closing Under Series B Convertible Preferred Stock Financing</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In closings held on June 29, 2023, July 7, 2023, and July 31, 2023, we issued and sold an aggregate of 32,052,994 shares of our Series B convertible preferred stock at a purchase price of $1.8719 per share for an aggregate purchase price of $59,999,999.55.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spacing w:after="0" w:line="8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The following table summarizes the Series B convertible preferred stock purchased by holders of more than 5% of our capital stock in the closings of the Series B convertible preferred stock financing held on June 29, 2023, July 7, 2023 and July 31, 2023, and entities affiliated with certain of our executive officers and directors. Each outstanding share of Series B convertible preferred stock identified in the table below automatically converted into shares of our common stock at a ratio of one-for-4.5511 immediately prior to the closing of our IPO completed on February 12,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21"/>
                <w:szCs w:val="21"/>
                <w:b w:val="1"/>
                <w:bCs w:val="1"/>
                <w:color w:val="auto"/>
                <w:vertAlign w:val="superscript"/>
              </w:rPr>
              <w:t>(1)</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Series B Convertible Preferred</w:t>
            </w:r>
          </w:p>
        </w:tc>
        <w:tc>
          <w:tcPr>
            <w:tcW w:w="220" w:type="dxa"/>
            <w:vAlign w:val="bottom"/>
          </w:tcPr>
          <w:p>
            <w:pPr>
              <w:spacing w:after="0"/>
              <w:rPr>
                <w:sz w:val="17"/>
                <w:szCs w:val="17"/>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0" w:type="dxa"/>
            <w:vAlign w:val="bottom"/>
          </w:tcPr>
          <w:p>
            <w:pPr>
              <w:spacing w:after="0"/>
              <w:rPr>
                <w:sz w:val="1"/>
                <w:szCs w:val="1"/>
                <w:color w:val="auto"/>
              </w:rPr>
            </w:pPr>
          </w:p>
        </w:tc>
      </w:tr>
      <w:tr>
        <w:trPr>
          <w:trHeight w:val="218"/>
        </w:trPr>
        <w:tc>
          <w:tcPr>
            <w:tcW w:w="6840" w:type="dxa"/>
            <w:vAlign w:val="bottom"/>
            <w:vMerge w:val="continue"/>
          </w:tcPr>
          <w:p>
            <w:pPr>
              <w:spacing w:after="0"/>
              <w:rPr>
                <w:sz w:val="18"/>
                <w:szCs w:val="18"/>
                <w:color w:val="auto"/>
              </w:rPr>
            </w:pPr>
          </w:p>
        </w:tc>
        <w:tc>
          <w:tcPr>
            <w:tcW w:w="22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Stock Purchased (Shares)</w:t>
            </w: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Northpond Ventures III, LP</w:t>
            </w:r>
            <w:r>
              <w:rPr>
                <w:rFonts w:ascii="Times New Roman" w:cs="Times New Roman" w:eastAsia="Times New Roman" w:hAnsi="Times New Roman"/>
                <w:sz w:val="24"/>
                <w:szCs w:val="24"/>
                <w:color w:val="auto"/>
                <w:vertAlign w:val="superscript"/>
              </w:rPr>
              <w:t>(2)</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2,083,445</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$3,900,000.70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Westlake BioPartners Fund I, L.P.</w:t>
            </w:r>
            <w:r>
              <w:rPr>
                <w:rFonts w:ascii="Times New Roman" w:cs="Times New Roman" w:eastAsia="Times New Roman" w:hAnsi="Times New Roman"/>
                <w:sz w:val="24"/>
                <w:szCs w:val="24"/>
                <w:color w:val="auto"/>
                <w:vertAlign w:val="superscript"/>
              </w:rPr>
              <w:t>(3)</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3,349,538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$6,270,000.19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Vida Ventures, LLC</w:t>
            </w:r>
            <w:r>
              <w:rPr>
                <w:rFonts w:ascii="Times New Roman" w:cs="Times New Roman" w:eastAsia="Times New Roman" w:hAnsi="Times New Roman"/>
                <w:sz w:val="24"/>
                <w:szCs w:val="24"/>
                <w:color w:val="auto"/>
                <w:vertAlign w:val="superscript"/>
              </w:rPr>
              <w:t>(4)</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3,349,538</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$6,270,000.19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Gilead Sciences, Inc.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4,006,624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$7,499,999.47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Entities affiliated with RTW Investments LP</w:t>
            </w:r>
            <w:r>
              <w:rPr>
                <w:rFonts w:ascii="Times New Roman" w:cs="Times New Roman" w:eastAsia="Times New Roman" w:hAnsi="Times New Roman"/>
                <w:sz w:val="24"/>
                <w:szCs w:val="24"/>
                <w:color w:val="auto"/>
                <w:vertAlign w:val="superscript"/>
              </w:rPr>
              <w:t>(5)</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1,041,722</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$1,949,999.43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jVen Capital, LLC</w:t>
            </w:r>
            <w:r>
              <w:rPr>
                <w:rFonts w:ascii="Times New Roman" w:cs="Times New Roman" w:eastAsia="Times New Roman" w:hAnsi="Times New Roman"/>
                <w:sz w:val="24"/>
                <w:szCs w:val="24"/>
                <w:color w:val="auto"/>
                <w:vertAlign w:val="superscript"/>
              </w:rPr>
              <w:t>(6)</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Bain Capital Life Sciences Opportunities III, LP</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12,351,087</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$23,119,999.76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84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_______________</w:t>
            </w:r>
          </w:p>
        </w:tc>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5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details regarding certain of these stockholders and their equity holdings, see “Security Ownership of Certain Beneficial Owners and Management”.</w:t>
      </w:r>
    </w:p>
    <w:p>
      <w:pPr>
        <w:spacing w:after="0" w:line="18" w:lineRule="exact"/>
        <w:rPr>
          <w:rFonts w:ascii="Times New Roman" w:cs="Times New Roman" w:eastAsia="Times New Roman" w:hAnsi="Times New Roman"/>
          <w:sz w:val="17"/>
          <w:szCs w:val="17"/>
          <w:color w:val="231F20"/>
        </w:rPr>
      </w:pPr>
    </w:p>
    <w:p>
      <w:pPr>
        <w:ind w:right="60" w:firstLine="8"/>
        <w:spacing w:after="0" w:line="250" w:lineRule="auto"/>
        <w:tabs>
          <w:tab w:leader="none" w:pos="34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Northpond Ventures III, LP beneficially owns more than 5% of our outstanding capital stock. Dr. Liapis is a member of our board of directors and is a principal at Northpond Ventures, LLC, an affiliate of Northpond Ventures III, LP.</w:t>
      </w:r>
    </w:p>
    <w:p>
      <w:pPr>
        <w:ind w:right="80" w:firstLine="8"/>
        <w:spacing w:after="0" w:line="250" w:lineRule="auto"/>
        <w:tabs>
          <w:tab w:leader="none" w:pos="34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Seidenberg is a member of our Board and is a managing director of Westlake BioPartners GP I, LLC and Westlake BioPartners Opportunity GP I, L.P., the general partner of Westlake BioPartners Fund I, L.P. and Westlake BioPartners Opportunity Fund I, L.P., respectively.</w:t>
      </w:r>
    </w:p>
    <w:p>
      <w:pPr>
        <w:ind w:right="40" w:firstLine="8"/>
        <w:spacing w:after="0" w:line="250" w:lineRule="auto"/>
        <w:tabs>
          <w:tab w:leader="none" w:pos="34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Vida Ventures, LLC beneficially owns more than 5% of our outstanding capital stock. Dr. Cohen is a member of our board of directors and is a Senior Managing Director of Vida Ventures, LLC.</w:t>
      </w:r>
    </w:p>
    <w:p>
      <w:pPr>
        <w:ind w:right="320" w:firstLine="8"/>
        <w:spacing w:after="0" w:line="250" w:lineRule="auto"/>
        <w:tabs>
          <w:tab w:leader="none" w:pos="34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(i) 471,759 shares of Series B convertible preferred stock issued to RTW Master Fund, Ltd., (ii) 391,759 shares of Series B convertible preferred stock issued to RTW Innovation Master Fund, Ltd., and (iii) 178,204 shares of Series B convertible preferred stock issued to RTW Biotech Opportunities Ltd (formerly RTW Venture Fund Limited).</w:t>
      </w:r>
    </w:p>
    <w:p>
      <w:pPr>
        <w:spacing w:after="0" w:line="1"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jVen Capital, LLC is an entity controlled by an immediate family member of Mr. Ryan Jones, our 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Investors’ Rights Agreement</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231F20"/>
        </w:rPr>
        <w:t>In November 2021, in connection with the initial issuance and sale of our Series B preferred stock, we entered into an Amended and Restated Investors’ Rights Agreement, as subsequently amended, or the Rights Agreement, with, among others, the following holders of more than 5% of our outstanding capital stock as of the date of the Rights Agreement: Northpond Ventures III, LP, Westlake Biopartners Fund I, L.P., Vida Ventures, LLC, Gilead Sciences, Inc., entities affiliated with RTW Master Fund, Ltd. and Bain Capital Life Sciences Opportunities III, LP.</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The Rights Agreement granted certain rights to the holders of our outstanding convertible preferred stock, including registration rights with respect to the registrable securities held by them. We are obligated to pay the registration expenses, other than the underwriting discounts and selling commissions, of the shares registered pursuant to any such registrations. In addition, the Rights Agreement imposed certain affirmative obligations on us, including, among other things, our obligation to grant certain holders of shares of our convertible preferred stock a right of first offer with respect to future sales of our equity, excluding the shares offered and sold in our IPO, and granted certain information and inspection rights to such holders. Excluding the registration rights, each of these obligations terminated in connection with the closing of the IPO.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Employment Arrangements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231F20"/>
        </w:rPr>
        <w:t>We have entered into employment offer letters with certain of our executive officers. For more information regarding these agreements with our executive officers, see Part III, Item 11 of this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Equity Grants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We have granted options to purchase shares of our common stock to certain of our executive officers and directors. For more information regarding the options granted to our executive officers and directors, see Part III, Item 11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Director and Officer Indemnification and Insurance</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231F20"/>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more information regarding these agreements, see Part III, Item 11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Promissory Note with Former Chief Executive Officer</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In December 2022, our former chief executive officer, a related party, early exercised options for 349,321 shares of our common stock in exchange for a partial recourse promissory note receivable with the principal amount of $1.1 million. The note bore interest of 4.27% per annum and was due in December 2027. On January 12, 2024, we forgave the promissory note in full, which included the outstanding principal amount and interest through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Advisor Agreement with Daniel Spiegelman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On September 1, 2023, we entered into an advisor agreement with Daniel Spiegelman, a member of our board of directors, pursuant to which Mr. Spiegelman agreed to provide us advice in our evaluation of strategic options in the context of corporate finance activities, including, but not limited to, an initial public offering by us, in exchange for a payment of $10,000 per month. The advisor agreement provided that it would terminate on the earliest to occur of April 1, 2024, immediately prior to the effectiveness of a registration statement on Form S-1 filed by us with the SEC related to the initial public offering of our common stock and the date terminated by either party upon written notice to the other party. In accordance with the foregoing, the advisor agreement terminated on February 7,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Participation in our Initial Public Offering</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Certain holders of more than 5% of our capital stock and their affiliated entities purchased shares of our common stock in the IPO from the underwriters for payment in excess of $120,000 as summarized in the following table. The underwriters received the same underwriting discount from the sale of the shares of our common stock to these holders as they did from the sale of other shares of our common stock sold to the public in the IPO:</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00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2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2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Aggregate Purchase Price</w:t>
            </w:r>
          </w:p>
        </w:tc>
      </w:tr>
      <w:tr>
        <w:trPr>
          <w:trHeight w:val="238"/>
        </w:trPr>
        <w:tc>
          <w:tcPr>
            <w:tcW w:w="6000" w:type="dxa"/>
            <w:vAlign w:val="bottom"/>
          </w:tcPr>
          <w:p>
            <w:pPr>
              <w:spacing w:after="0"/>
              <w:rPr>
                <w:sz w:val="20"/>
                <w:szCs w:val="20"/>
                <w:color w:val="auto"/>
              </w:rPr>
            </w:pPr>
          </w:p>
        </w:tc>
        <w:tc>
          <w:tcPr>
            <w:tcW w:w="24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660" w:type="dxa"/>
            <w:vAlign w:val="bottom"/>
          </w:tcPr>
          <w:p>
            <w:pPr>
              <w:spacing w:after="0"/>
              <w:rPr>
                <w:sz w:val="20"/>
                <w:szCs w:val="20"/>
                <w:color w:val="auto"/>
              </w:rPr>
            </w:pPr>
          </w:p>
        </w:tc>
      </w:tr>
      <w:tr>
        <w:trPr>
          <w:trHeight w:val="216"/>
        </w:trPr>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ain Capital Life Sciences Opportunities III, LP</w:t>
            </w:r>
          </w:p>
        </w:tc>
        <w:tc>
          <w:tcPr>
            <w:tcW w:w="2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450,000</w:t>
            </w:r>
          </w:p>
        </w:tc>
        <w:tc>
          <w:tcPr>
            <w:tcW w:w="2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$9,900,000</w:t>
            </w:r>
          </w:p>
        </w:tc>
      </w:tr>
      <w:tr>
        <w:trPr>
          <w:trHeight w:val="216"/>
        </w:trPr>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Gilead Sciences, Inc.</w:t>
            </w:r>
          </w:p>
        </w:tc>
        <w:tc>
          <w:tcPr>
            <w:tcW w:w="2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31F20"/>
              </w:rPr>
              <w:t>910,000</w:t>
            </w:r>
          </w:p>
        </w:tc>
        <w:tc>
          <w:tcPr>
            <w:tcW w:w="2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$20,020,000</w:t>
            </w:r>
          </w:p>
        </w:tc>
      </w:tr>
      <w:tr>
        <w:trPr>
          <w:trHeight w:val="198"/>
        </w:trPr>
        <w:tc>
          <w:tcPr>
            <w:tcW w:w="60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231F20"/>
              </w:rPr>
              <w:t>Northpond Ventures, LLC, affiliated with Northpond Ventures III, LP, a holder</w:t>
            </w:r>
          </w:p>
        </w:tc>
        <w:tc>
          <w:tcPr>
            <w:tcW w:w="2440" w:type="dxa"/>
            <w:vAlign w:val="bottom"/>
            <w:shd w:val="clear" w:color="auto" w:fill="CFF0FC"/>
          </w:tcPr>
          <w:p>
            <w:pPr>
              <w:jc w:val="right"/>
              <w:ind w:right="150"/>
              <w:spacing w:after="0" w:line="198" w:lineRule="exact"/>
              <w:rPr>
                <w:sz w:val="20"/>
                <w:szCs w:val="20"/>
                <w:color w:val="auto"/>
              </w:rPr>
            </w:pPr>
            <w:r>
              <w:rPr>
                <w:rFonts w:ascii="Times New Roman" w:cs="Times New Roman" w:eastAsia="Times New Roman" w:hAnsi="Times New Roman"/>
                <w:sz w:val="18"/>
                <w:szCs w:val="18"/>
                <w:color w:val="231F20"/>
              </w:rPr>
              <w:t>450,000</w:t>
            </w:r>
          </w:p>
        </w:tc>
        <w:tc>
          <w:tcPr>
            <w:tcW w:w="2660" w:type="dxa"/>
            <w:vAlign w:val="bottom"/>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$9,900,000</w:t>
            </w:r>
          </w:p>
        </w:tc>
      </w:tr>
      <w:tr>
        <w:trPr>
          <w:trHeight w:val="234"/>
        </w:trPr>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231F20"/>
              </w:rPr>
              <w:t>of more than 5% of our common stock</w:t>
            </w:r>
          </w:p>
        </w:tc>
        <w:tc>
          <w:tcPr>
            <w:tcW w:w="2440" w:type="dxa"/>
            <w:vAlign w:val="bottom"/>
            <w:shd w:val="clear" w:color="auto" w:fill="CFF0FC"/>
          </w:tcPr>
          <w:p>
            <w:pPr>
              <w:spacing w:after="0"/>
              <w:rPr>
                <w:sz w:val="20"/>
                <w:szCs w:val="20"/>
                <w:color w:val="auto"/>
              </w:rPr>
            </w:pPr>
          </w:p>
        </w:tc>
        <w:tc>
          <w:tcPr>
            <w:tcW w:w="2660" w:type="dxa"/>
            <w:vAlign w:val="bottom"/>
            <w:shd w:val="clear" w:color="auto" w:fill="CFF0FC"/>
          </w:tcPr>
          <w:p>
            <w:pPr>
              <w:spacing w:after="0"/>
              <w:rPr>
                <w:sz w:val="20"/>
                <w:szCs w:val="20"/>
                <w:color w:val="auto"/>
              </w:rPr>
            </w:pPr>
          </w:p>
        </w:tc>
      </w:tr>
      <w:tr>
        <w:trPr>
          <w:trHeight w:val="256"/>
        </w:trPr>
        <w:tc>
          <w:tcPr>
            <w:tcW w:w="6000" w:type="dxa"/>
            <w:vAlign w:val="bottom"/>
            <w:shd w:val="clear" w:color="auto" w:fill="CFF0FC"/>
          </w:tcPr>
          <w:p>
            <w:pPr>
              <w:spacing w:after="0"/>
              <w:rPr>
                <w:sz w:val="22"/>
                <w:szCs w:val="22"/>
                <w:color w:val="auto"/>
              </w:rPr>
            </w:pPr>
          </w:p>
        </w:tc>
        <w:tc>
          <w:tcPr>
            <w:tcW w:w="2440" w:type="dxa"/>
            <w:vAlign w:val="bottom"/>
            <w:shd w:val="clear" w:color="auto" w:fill="CFF0FC"/>
          </w:tcPr>
          <w:p>
            <w:pPr>
              <w:spacing w:after="0"/>
              <w:rPr>
                <w:sz w:val="22"/>
                <w:szCs w:val="22"/>
                <w:color w:val="auto"/>
              </w:rPr>
            </w:pPr>
          </w:p>
        </w:tc>
        <w:tc>
          <w:tcPr>
            <w:tcW w:w="2660" w:type="dxa"/>
            <w:vAlign w:val="bottom"/>
            <w:shd w:val="clear" w:color="auto" w:fill="CFF0FC"/>
          </w:tcPr>
          <w:p>
            <w:pPr>
              <w:spacing w:after="0"/>
              <w:rPr>
                <w:sz w:val="22"/>
                <w:szCs w:val="22"/>
                <w:color w:val="auto"/>
              </w:rPr>
            </w:pPr>
          </w:p>
        </w:tc>
      </w:tr>
      <w:tr>
        <w:trPr>
          <w:trHeight w:val="198"/>
        </w:trPr>
        <w:tc>
          <w:tcPr>
            <w:tcW w:w="60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231F20"/>
              </w:rPr>
              <w:t>Vida Ventures III, L.P., affiliated with Vida Ventures, LLC, a holder of more</w:t>
            </w:r>
          </w:p>
        </w:tc>
        <w:tc>
          <w:tcPr>
            <w:tcW w:w="24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231F20"/>
              </w:rPr>
              <w:t>252,553</w:t>
            </w:r>
          </w:p>
        </w:tc>
        <w:tc>
          <w:tcPr>
            <w:tcW w:w="266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$5,556,166</w:t>
            </w:r>
          </w:p>
        </w:tc>
      </w:tr>
      <w:tr>
        <w:trPr>
          <w:trHeight w:val="234"/>
        </w:trPr>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than 5% of our common stock</w:t>
            </w:r>
          </w:p>
        </w:tc>
        <w:tc>
          <w:tcPr>
            <w:tcW w:w="24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198"/>
        </w:trPr>
        <w:tc>
          <w:tcPr>
            <w:tcW w:w="60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231F20"/>
              </w:rPr>
              <w:t>Vida Ventures III-A, L.P., affiliated with Vida Ventures, LLC, a holder of more</w:t>
            </w:r>
          </w:p>
        </w:tc>
        <w:tc>
          <w:tcPr>
            <w:tcW w:w="2440" w:type="dxa"/>
            <w:vAlign w:val="bottom"/>
            <w:shd w:val="clear" w:color="auto" w:fill="CFF0FC"/>
          </w:tcPr>
          <w:p>
            <w:pPr>
              <w:jc w:val="right"/>
              <w:ind w:right="150"/>
              <w:spacing w:after="0" w:line="198" w:lineRule="exact"/>
              <w:rPr>
                <w:sz w:val="20"/>
                <w:szCs w:val="20"/>
                <w:color w:val="auto"/>
              </w:rPr>
            </w:pPr>
            <w:r>
              <w:rPr>
                <w:rFonts w:ascii="Times New Roman" w:cs="Times New Roman" w:eastAsia="Times New Roman" w:hAnsi="Times New Roman"/>
                <w:sz w:val="18"/>
                <w:szCs w:val="18"/>
                <w:color w:val="231F20"/>
              </w:rPr>
              <w:t>583</w:t>
            </w:r>
          </w:p>
        </w:tc>
        <w:tc>
          <w:tcPr>
            <w:tcW w:w="2660" w:type="dxa"/>
            <w:vAlign w:val="bottom"/>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$12,826</w:t>
            </w:r>
          </w:p>
        </w:tc>
      </w:tr>
      <w:tr>
        <w:trPr>
          <w:trHeight w:val="234"/>
        </w:trPr>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231F20"/>
              </w:rPr>
              <w:t>than 5% of our common stock</w:t>
            </w:r>
          </w:p>
        </w:tc>
        <w:tc>
          <w:tcPr>
            <w:tcW w:w="2440" w:type="dxa"/>
            <w:vAlign w:val="bottom"/>
            <w:shd w:val="clear" w:color="auto" w:fill="CFF0FC"/>
          </w:tcPr>
          <w:p>
            <w:pPr>
              <w:spacing w:after="0"/>
              <w:rPr>
                <w:sz w:val="20"/>
                <w:szCs w:val="20"/>
                <w:color w:val="auto"/>
              </w:rPr>
            </w:pPr>
          </w:p>
        </w:tc>
        <w:tc>
          <w:tcPr>
            <w:tcW w:w="2660" w:type="dxa"/>
            <w:vAlign w:val="bottom"/>
            <w:shd w:val="clear" w:color="auto" w:fill="CFF0FC"/>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Related Person Transaction Policy</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231F20"/>
        </w:rPr>
        <w:t>Our board of directors has adopted a written related person transaction policy that sets forth our procedures for the identification, review, consideration and approval or ratification of related person transactions. For purposes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officer, director (or nominee to become a director) or beneficial owner of more than 5% of any class of our voting securities, including any of their immediate family members. Our Audit Committee is tasked with the review and oversight of related party transactions as required by Nasdaq and SEC rules (including, without limitation, those defined in Item 404 of Regulation S-K, but excluding any compensation-related matters).</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All of the transactions described above were entered into prior to the adoption of the written related person transaction policy, but all were approved by our board of directors considering similar factors to those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Director Independence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Under the rules and listing standards of The Nasdaq Stock Market LLC, or the Nasdaq Rules, a majority of the members of our board of directors must satisfy the Nasdaq criteria for “independence.” No director qualifies as independent under the Nasdaq Rules unless our board of directors affirmatively determines that the director does not have a relationship with us that would impair independence (directly or as a partner, stockholder or officer of an organization that has a relationship with us). Our board of directors has determined that Ian Clark, Fred E. Cohen, M.D., D.Phil., Christi Shaw, Mert Aktar, Steve Liapis, Ph.D., Beth Seidenberg, M.D. and Daniel K. Spiegelman are independent directors as defined under the Nasdaq Rules. Mr. Biddle is not independent under the Nasdaq Rules as a result of his position as our Chief Executive Officer.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this Part III, Item 13 above.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Accounting Firm</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the aggregate fees paid or accrued by us for professional services provided by BDO USA, P.C., our independent registered public accounting firm, in the fiscal years ended December 31, 2024 and 2023</w:t>
      </w:r>
      <w:r>
        <w:rPr>
          <w:rFonts w:ascii="Times New Roman" w:cs="Times New Roman" w:eastAsia="Times New Roman" w:hAnsi="Times New Roman"/>
          <w:sz w:val="18"/>
          <w:szCs w:val="18"/>
          <w:color w:val="000000"/>
        </w:rPr>
        <w:t>:</w:t>
      </w:r>
    </w:p>
    <w:p>
      <w:pPr>
        <w:spacing w:after="0" w:line="16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18"/>
                <w:szCs w:val="18"/>
                <w:color w:val="auto"/>
              </w:rPr>
            </w:pPr>
          </w:p>
        </w:tc>
        <w:tc>
          <w:tcPr>
            <w:tcW w:w="2400" w:type="dxa"/>
            <w:vAlign w:val="bottom"/>
            <w:tcBorders>
              <w:top w:val="single" w:sz="8" w:color="auto"/>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98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(l)</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$909,285</w:t>
            </w:r>
          </w:p>
        </w:tc>
        <w:tc>
          <w:tcPr>
            <w:tcW w:w="2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883,385</w:t>
            </w:r>
          </w:p>
        </w:tc>
      </w:tr>
      <w:tr>
        <w:trPr>
          <w:trHeight w:val="216"/>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Audit-Related Fees</w:t>
            </w:r>
          </w:p>
        </w:tc>
        <w:tc>
          <w:tcPr>
            <w:tcW w:w="5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gridSpan w:val="2"/>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(2)</w:t>
            </w:r>
          </w:p>
        </w:tc>
        <w:tc>
          <w:tcPr>
            <w:tcW w:w="5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70,232</w:t>
            </w:r>
          </w:p>
        </w:tc>
      </w:tr>
      <w:tr>
        <w:trPr>
          <w:trHeight w:val="216"/>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Other Fees</w:t>
            </w:r>
          </w:p>
        </w:tc>
        <w:tc>
          <w:tcPr>
            <w:tcW w:w="5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Fees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909,285</w:t>
            </w:r>
          </w:p>
        </w:tc>
        <w:tc>
          <w:tcPr>
            <w:tcW w:w="2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953,617</w:t>
            </w:r>
          </w:p>
        </w:tc>
      </w:tr>
      <w:tr>
        <w:trPr>
          <w:trHeight w:val="245"/>
        </w:trPr>
        <w:tc>
          <w:tcPr>
            <w:tcW w:w="356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_______________</w:t>
            </w:r>
          </w:p>
        </w:tc>
        <w:tc>
          <w:tcPr>
            <w:tcW w:w="2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ind w:right="100" w:firstLine="8"/>
        <w:spacing w:after="0" w:line="249" w:lineRule="auto"/>
        <w:tabs>
          <w:tab w:leader="none" w:pos="36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Audit fees consist of professional services rendered for the audits of our financial statements, review of interim financial statements, assistance with registration statements filed with the SEC and services that are normally provided by the independent registered public accounting firm in connection with statutory and regulatory filings or engagements. Audit fees for the years ended December 31, 2024 and 2023 included $411,000 and $582,000, respectively, incurred in connection with the filing of our Registration Statement on Form S-1 in connection with our IPO in February 2024.</w:t>
      </w:r>
    </w:p>
    <w:p>
      <w:pPr>
        <w:spacing w:after="0" w:line="3" w:lineRule="exact"/>
        <w:rPr>
          <w:rFonts w:ascii="Times New Roman" w:cs="Times New Roman" w:eastAsia="Times New Roman" w:hAnsi="Times New Roman"/>
          <w:sz w:val="18"/>
          <w:szCs w:val="18"/>
          <w:color w:val="231F20"/>
        </w:rPr>
      </w:pPr>
    </w:p>
    <w:p>
      <w:pPr>
        <w:ind w:left="400" w:hanging="392"/>
        <w:spacing w:after="0"/>
        <w:tabs>
          <w:tab w:leader="none" w:pos="40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Tax fees include fees for professional services related to tax compliance and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audit and non-audit services rendered by our independent registered public accounting firm, BDO USA, P.C. The policy generally pre-approves specified services in the defined categories of audit services, audit-related services and tax services up to specified amounts.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Pre-approval may also be given as part of the Audit Committee’s approval of the scope of the engagement of the independent registered public accounting firm or on an individual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By the adoption of this policy, the Audit Committee has delegated the authority to pre-approve services to the Chairperson of the Audit Committee, subject to certain limitations.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ind w:right="640" w:firstLine="8"/>
        <w:spacing w:after="0" w:line="284" w:lineRule="auto"/>
        <w:tabs>
          <w:tab w:leader="none" w:pos="2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of Kyverna Therapeutics, Inc. and the report of BDO USA, P.C.,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are included in a separate section of this Annual Report on Form 10-K beginning on page F-1.</w:t>
      </w:r>
    </w:p>
    <w:p>
      <w:pPr>
        <w:spacing w:after="0" w:line="5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is a list of exhibits filed as part of this Annual Report on Form 10-K:</w:t>
      </w:r>
    </w:p>
    <w:tbl>
      <w:tblPr>
        <w:tblLayout w:type="fixed"/>
        <w:tblInd w:w="0" w:type="dxa"/>
        <w:tblCellMar>
          <w:top w:w="0" w:type="dxa"/>
          <w:left w:w="0" w:type="dxa"/>
          <w:bottom w:w="0" w:type="dxa"/>
          <w:right w:w="0" w:type="dxa"/>
        </w:tblCellMar>
      </w:tblPr>
      <w:tr>
        <w:trPr>
          <w:trHeight w:val="153"/>
        </w:trPr>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Date Filed</w:t>
            </w: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9"/>
        </w:trPr>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20" w:type="dxa"/>
            <w:vAlign w:val="bottom"/>
            <w:gridSpan w:val="18"/>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the</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18"/>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91"/>
        </w:trPr>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6600" w:type="dxa"/>
            <w:vAlign w:val="bottom"/>
            <w:gridSpan w:val="26"/>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Amended and Restated Certificate of Incorporation of Kyverna Therapeutics, Inc.</w:t>
              </w:r>
            </w:hyperlink>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2/12/2024</w:t>
            </w:r>
          </w:p>
        </w:tc>
        <w:tc>
          <w:tcPr>
            <w:tcW w:w="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318"/>
        </w:trPr>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88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Amended and Restated Bylaws of Kyverna Therapeutics, Inc.</w:t>
              </w:r>
            </w:hyperlink>
          </w:p>
        </w:tc>
        <w:tc>
          <w:tcPr>
            <w:tcW w:w="720" w:type="dxa"/>
            <w:vAlign w:val="bottom"/>
            <w:gridSpan w:val="1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2/12/2024</w:t>
            </w:r>
          </w:p>
        </w:tc>
        <w:tc>
          <w:tcPr>
            <w:tcW w:w="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317"/>
        </w:trPr>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Form of Common Stock Certificate.</w:t>
              </w:r>
            </w:hyperlink>
          </w:p>
        </w:tc>
        <w:tc>
          <w:tcPr>
            <w:tcW w:w="20" w:type="dxa"/>
            <w:vAlign w:val="bottom"/>
            <w:tcBorders>
              <w:top w:val="single" w:sz="8" w:color="0000FF"/>
              <w:bottom w:val="single" w:sz="8" w:color="0000EE"/>
            </w:tcBorders>
          </w:tcPr>
          <w:p>
            <w:pPr>
              <w:spacing w:after="0"/>
              <w:rPr>
                <w:sz w:val="24"/>
                <w:szCs w:val="24"/>
                <w:color w:val="auto"/>
              </w:rPr>
            </w:pPr>
          </w:p>
        </w:tc>
        <w:tc>
          <w:tcPr>
            <w:tcW w:w="1820" w:type="dxa"/>
            <w:vAlign w:val="bottom"/>
            <w:tcBorders>
              <w:top w:val="single" w:sz="8" w:color="0000FF"/>
            </w:tcBorders>
            <w:gridSpan w:val="5"/>
          </w:tcPr>
          <w:p>
            <w:pPr>
              <w:spacing w:after="0"/>
              <w:rPr>
                <w:sz w:val="24"/>
                <w:szCs w:val="24"/>
                <w:color w:val="auto"/>
              </w:rPr>
            </w:pPr>
          </w:p>
        </w:tc>
        <w:tc>
          <w:tcPr>
            <w:tcW w:w="216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1/16/2024</w:t>
            </w:r>
          </w:p>
        </w:tc>
        <w:tc>
          <w:tcPr>
            <w:tcW w:w="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318"/>
        </w:trPr>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6600" w:type="dxa"/>
            <w:vAlign w:val="bottom"/>
            <w:gridSpan w:val="26"/>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Description of Registrant’s Securities.</w:t>
              </w:r>
            </w:hyperlink>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3/26/2024</w:t>
            </w:r>
          </w:p>
        </w:tc>
        <w:tc>
          <w:tcPr>
            <w:tcW w:w="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62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Kyverna Therapeutics, Inc. Amended and Restated 2019 Stock Plan, as amended, and</w:t>
              </w:r>
            </w:hyperlink>
          </w:p>
        </w:tc>
        <w:tc>
          <w:tcPr>
            <w:tcW w:w="38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gridSpan w:val="26"/>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forms of agreement thereunder.</w:t>
              </w:r>
            </w:hyperlink>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6600" w:type="dxa"/>
            <w:vAlign w:val="bottom"/>
            <w:gridSpan w:val="26"/>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Kyverna Therapeutics, Inc. 2024 Equity Incentive Plan.</w:t>
              </w:r>
            </w:hyperlink>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S-8</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2/8/2024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6600" w:type="dxa"/>
            <w:vAlign w:val="bottom"/>
            <w:gridSpan w:val="26"/>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Kyverna Therapeutics, Inc. 2024 Equity Incentive Plan Form of Stock Option Agreement.</w:t>
              </w:r>
            </w:hyperlink>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2/1/2024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6240" w:type="dxa"/>
            <w:vAlign w:val="bottom"/>
            <w:tcBorders>
              <w:top w:val="single" w:sz="8" w:color="0000FF"/>
              <w:bottom w:val="single" w:sz="8" w:color="0000FF"/>
            </w:tcBorders>
            <w:gridSpan w:val="19"/>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Kyverna Therapeutics, Inc. 2024 Equity Incentive Plan Form of Restricted Stock Unit</w:t>
              </w:r>
            </w:hyperlink>
          </w:p>
        </w:tc>
        <w:tc>
          <w:tcPr>
            <w:tcW w:w="240" w:type="dxa"/>
            <w:vAlign w:val="bottom"/>
            <w:tcBorders>
              <w:top w:val="single" w:sz="8" w:color="0000FF"/>
            </w:tcBorders>
            <w:gridSpan w:val="3"/>
          </w:tcPr>
          <w:p>
            <w:pPr>
              <w:spacing w:after="0"/>
              <w:rPr>
                <w:sz w:val="24"/>
                <w:szCs w:val="24"/>
                <w:color w:val="auto"/>
              </w:rPr>
            </w:pPr>
          </w:p>
        </w:tc>
        <w:tc>
          <w:tcPr>
            <w:tcW w:w="1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gridSpan w:val="26"/>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Award Agreement.</w:t>
              </w:r>
            </w:hyperlink>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47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Kyverna Therapeutics, Inc. 2024 Employee Stock Purchase Plan.</w:t>
              </w:r>
            </w:hyperlink>
          </w:p>
        </w:tc>
        <w:tc>
          <w:tcPr>
            <w:tcW w:w="1900" w:type="dxa"/>
            <w:vAlign w:val="bottom"/>
            <w:gridSpan w:val="12"/>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S-8</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2/8/2024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6600" w:type="dxa"/>
            <w:vAlign w:val="bottom"/>
            <w:gridSpan w:val="26"/>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Indemnification Agreement.</w:t>
              </w:r>
            </w:hyperlink>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S-1/A</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65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Employment Offer Letter, dated September 14, 2024, between Kyverna Therapeutics, Inc.</w:t>
              </w:r>
            </w:hyperlink>
          </w:p>
        </w:tc>
        <w:tc>
          <w:tcPr>
            <w:tcW w:w="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9/16/2024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gridSpan w:val="26"/>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and Warner Biddle</w:t>
              </w:r>
              <w:r>
                <w:rPr>
                  <w:rFonts w:ascii="Times New Roman" w:cs="Times New Roman" w:eastAsia="Times New Roman" w:hAnsi="Times New Roman"/>
                  <w:sz w:val="18"/>
                  <w:szCs w:val="18"/>
                  <w:color w:val="000000"/>
                </w:rPr>
                <w:t>.</w:t>
              </w:r>
            </w:hyperlink>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65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Employment Offer Letter, dated December 30, 2024, between Kyverna Therapeutics, Inc.</w:t>
            </w:r>
          </w:p>
        </w:tc>
        <w:tc>
          <w:tcPr>
            <w:tcW w:w="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and Naji H. Gehchan, M.D.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62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Employment Offer Letter, dated July 9, 2021, between Kyverna Therapeutics, Inc. and</w:t>
              </w:r>
            </w:hyperlink>
          </w:p>
        </w:tc>
        <w:tc>
          <w:tcPr>
            <w:tcW w:w="32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25">
              <w:r>
                <w:rPr>
                  <w:rFonts w:ascii="Times New Roman" w:cs="Times New Roman" w:eastAsia="Times New Roman" w:hAnsi="Times New Roman"/>
                  <w:sz w:val="18"/>
                  <w:szCs w:val="18"/>
                  <w:color w:val="0000FF"/>
                  <w:w w:val="98"/>
                </w:rPr>
                <w:t>Karen Walker.</w:t>
              </w:r>
            </w:hyperlink>
          </w:p>
        </w:tc>
        <w:tc>
          <w:tcPr>
            <w:tcW w:w="5540" w:type="dxa"/>
            <w:vAlign w:val="bottom"/>
            <w:gridSpan w:val="25"/>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6600" w:type="dxa"/>
            <w:vAlign w:val="bottom"/>
            <w:gridSpan w:val="26"/>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and Restated Investors’ Rights Agreement, dated November 9, 2021.</w:t>
              </w:r>
            </w:hyperlink>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63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Office/Laboratory Lease, dated July 21, 2020, between Kyverna Therapeutics, Inc. and</w:t>
              </w:r>
            </w:hyperlink>
          </w:p>
        </w:tc>
        <w:tc>
          <w:tcPr>
            <w:tcW w:w="2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10.11</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Emery Station Office II, LLC.</w:t>
              </w:r>
            </w:hyperlink>
          </w:p>
        </w:tc>
        <w:tc>
          <w:tcPr>
            <w:tcW w:w="100" w:type="dxa"/>
            <w:vAlign w:val="bottom"/>
            <w:tcBorders>
              <w:bottom w:val="single" w:sz="8" w:color="0000EE"/>
            </w:tcBorders>
          </w:tcPr>
          <w:p>
            <w:pPr>
              <w:spacing w:after="0"/>
              <w:rPr>
                <w:sz w:val="17"/>
                <w:szCs w:val="17"/>
                <w:color w:val="auto"/>
              </w:rPr>
            </w:pPr>
          </w:p>
        </w:tc>
        <w:tc>
          <w:tcPr>
            <w:tcW w:w="4320" w:type="dxa"/>
            <w:vAlign w:val="bottom"/>
            <w:gridSpan w:val="21"/>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66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First Amendment to Office/Laboratory Lease, dated November 29, 2021, between Kyverna</w:t>
              </w:r>
            </w:hyperlink>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gridSpan w:val="26"/>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Therapeutics, Inc. and Emery Station Office II, LLC</w:t>
              </w:r>
              <w:r>
                <w:rPr>
                  <w:rFonts w:ascii="Times New Roman" w:cs="Times New Roman" w:eastAsia="Times New Roman" w:hAnsi="Times New Roman"/>
                  <w:sz w:val="18"/>
                  <w:szCs w:val="18"/>
                  <w:u w:val="single" w:color="auto"/>
                  <w:color w:val="000000"/>
                </w:rPr>
                <w:t>.</w:t>
              </w:r>
            </w:hyperlink>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500" w:type="dxa"/>
            <w:vAlign w:val="bottom"/>
            <w:tcBorders>
              <w:right w:val="single" w:sz="8" w:color="0000FF"/>
            </w:tcBorders>
            <w:gridSpan w:val="9"/>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60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License and Collaboration Agreement, dated December 29, 2021, between Kyverna</w:t>
              </w:r>
            </w:hyperlink>
          </w:p>
        </w:tc>
        <w:tc>
          <w:tcPr>
            <w:tcW w:w="52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10.13</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gridSpan w:val="26"/>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Therapeutics, Inc. and Intellia Therapeutics, Inc.</w:t>
              </w:r>
            </w:hyperlink>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500" w:type="dxa"/>
            <w:vAlign w:val="bottom"/>
            <w:tcBorders>
              <w:right w:val="single" w:sz="8" w:color="0000EE"/>
            </w:tcBorders>
            <w:gridSpan w:val="9"/>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9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65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Patent License Agreement (License Number L-158-2021-0), dated May 20, 2021, between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S-1</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10.14</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Kyverna Therapeutics, Inc. and the National Institutes of Health.</w:t>
              </w:r>
            </w:hyperlink>
          </w:p>
        </w:tc>
        <w:tc>
          <w:tcPr>
            <w:tcW w:w="1940" w:type="dxa"/>
            <w:vAlign w:val="bottom"/>
            <w:gridSpan w:val="13"/>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020" w:type="dxa"/>
            <w:vAlign w:val="bottom"/>
          </w:tcPr>
          <w:p>
            <w:pPr>
              <w:spacing w:after="0"/>
              <w:rPr>
                <w:sz w:val="24"/>
                <w:szCs w:val="24"/>
                <w:color w:val="auto"/>
              </w:rPr>
            </w:pPr>
          </w:p>
        </w:tc>
        <w:tc>
          <w:tcPr>
            <w:tcW w:w="4800" w:type="dxa"/>
            <w:vAlign w:val="bottom"/>
            <w:gridSpan w:val="14"/>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gridSpan w:val="20"/>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the</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20"/>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90"/>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Patent License Agreement (License Number L-159-2021-0), dated May 27, 2021, between</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1/16/2024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Kyverna Therapeutics, Inc. and the National Institutes of Health.</w:t>
              </w:r>
            </w:hyperlink>
          </w:p>
        </w:tc>
        <w:tc>
          <w:tcPr>
            <w:tcW w:w="20" w:type="dxa"/>
            <w:vAlign w:val="bottom"/>
            <w:tcBorders>
              <w:bottom w:val="single" w:sz="8" w:color="0000EE"/>
            </w:tcBorders>
          </w:tcPr>
          <w:p>
            <w:pPr>
              <w:spacing w:after="0"/>
              <w:rPr>
                <w:sz w:val="17"/>
                <w:szCs w:val="17"/>
                <w:color w:val="auto"/>
              </w:rPr>
            </w:pPr>
          </w:p>
        </w:tc>
        <w:tc>
          <w:tcPr>
            <w:tcW w:w="192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Kyverna Therapeutics, Inc. Non-Employee Director Compensation Program.</w:t>
            </w:r>
          </w:p>
        </w:tc>
        <w:tc>
          <w:tcPr>
            <w:tcW w:w="20" w:type="dxa"/>
            <w:vAlign w:val="bottom"/>
            <w:tcBorders>
              <w:bottom w:val="single" w:sz="8" w:color="0000EE"/>
            </w:tcBorders>
          </w:tcPr>
          <w:p>
            <w:pPr>
              <w:spacing w:after="0"/>
              <w:rPr>
                <w:sz w:val="24"/>
                <w:szCs w:val="24"/>
                <w:color w:val="auto"/>
              </w:rPr>
            </w:pPr>
          </w:p>
        </w:tc>
        <w:tc>
          <w:tcPr>
            <w:tcW w:w="1040" w:type="dxa"/>
            <w:vAlign w:val="bottom"/>
            <w:gridSpan w:val="10"/>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Separation and General Release Agreement, dated September 13, 2024, between Kyverna</w:t>
              </w:r>
            </w:hyperlink>
          </w:p>
        </w:tc>
        <w:tc>
          <w:tcPr>
            <w:tcW w:w="1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9/16/2024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23"/>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Therapeutics, Inc. and Peter Maag, Ph.D.</w:t>
              </w:r>
            </w:hyperlink>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Letter Agreement, dated November 26, 2024, between Kyverna Therapeutics, Inc. and</w:t>
              </w:r>
            </w:hyperlink>
          </w:p>
        </w:tc>
        <w:tc>
          <w:tcPr>
            <w:tcW w:w="32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8-K</w:t>
            </w:r>
          </w:p>
        </w:tc>
        <w:tc>
          <w:tcPr>
            <w:tcW w:w="14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11/26/2024</w:t>
            </w:r>
          </w:p>
        </w:tc>
        <w:tc>
          <w:tcPr>
            <w:tcW w:w="8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23"/>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James Chung, M.D., Ph.D.</w:t>
              </w:r>
            </w:hyperlink>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19.1*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Kyverna Therapeutics, Inc. Insider Trading Policy</w:t>
            </w:r>
            <w:r>
              <w:rPr>
                <w:rFonts w:ascii="Times New Roman" w:cs="Times New Roman" w:eastAsia="Times New Roman" w:hAnsi="Times New Roman"/>
                <w:sz w:val="18"/>
                <w:szCs w:val="18"/>
                <w:color w:val="000000"/>
              </w:rPr>
              <w:t>.</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Consent of BDO USA, P.C., Independent Registered Public Accounting Firm.</w:t>
            </w:r>
          </w:p>
        </w:tc>
        <w:tc>
          <w:tcPr>
            <w:tcW w:w="20" w:type="dxa"/>
            <w:vAlign w:val="bottom"/>
            <w:tcBorders>
              <w:bottom w:val="single" w:sz="8" w:color="0000EE"/>
            </w:tcBorders>
          </w:tcPr>
          <w:p>
            <w:pPr>
              <w:spacing w:after="0"/>
              <w:rPr>
                <w:sz w:val="24"/>
                <w:szCs w:val="24"/>
                <w:color w:val="auto"/>
              </w:rPr>
            </w:pPr>
          </w:p>
        </w:tc>
        <w:tc>
          <w:tcPr>
            <w:tcW w:w="94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to this Annual Report on Form 10-K).</w:t>
            </w:r>
          </w:p>
        </w:tc>
        <w:tc>
          <w:tcPr>
            <w:tcW w:w="14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 13a-14(a) or 15d-14(a) of</w:t>
            </w:r>
          </w:p>
        </w:tc>
        <w:tc>
          <w:tcPr>
            <w:tcW w:w="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w:t>
            </w:r>
          </w:p>
        </w:tc>
        <w:tc>
          <w:tcPr>
            <w:tcW w:w="20" w:type="dxa"/>
            <w:vAlign w:val="bottom"/>
            <w:tcBorders>
              <w:bottom w:val="single" w:sz="8" w:color="0000EE"/>
            </w:tcBorders>
          </w:tcPr>
          <w:p>
            <w:pPr>
              <w:spacing w:after="0"/>
              <w:rPr>
                <w:sz w:val="17"/>
                <w:szCs w:val="17"/>
                <w:color w:val="auto"/>
              </w:rPr>
            </w:pPr>
          </w:p>
        </w:tc>
        <w:tc>
          <w:tcPr>
            <w:tcW w:w="3900" w:type="dxa"/>
            <w:vAlign w:val="bottom"/>
            <w:gridSpan w:val="20"/>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Rule 13a-14(a) or 15d-14(a) of</w:t>
            </w:r>
          </w:p>
        </w:tc>
        <w:tc>
          <w:tcPr>
            <w:tcW w:w="1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w:t>
            </w:r>
          </w:p>
        </w:tc>
        <w:tc>
          <w:tcPr>
            <w:tcW w:w="20" w:type="dxa"/>
            <w:vAlign w:val="bottom"/>
            <w:tcBorders>
              <w:bottom w:val="single" w:sz="8" w:color="0000EE"/>
            </w:tcBorders>
          </w:tcPr>
          <w:p>
            <w:pPr>
              <w:spacing w:after="0"/>
              <w:rPr>
                <w:sz w:val="17"/>
                <w:szCs w:val="17"/>
                <w:color w:val="auto"/>
              </w:rPr>
            </w:pPr>
          </w:p>
        </w:tc>
        <w:tc>
          <w:tcPr>
            <w:tcW w:w="3900" w:type="dxa"/>
            <w:vAlign w:val="bottom"/>
            <w:gridSpan w:val="20"/>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w:t>
            </w:r>
          </w:p>
        </w:tc>
        <w:tc>
          <w:tcPr>
            <w:tcW w:w="34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20" w:type="dxa"/>
            <w:vAlign w:val="bottom"/>
            <w:tcBorders>
              <w:bottom w:val="single" w:sz="8" w:color="0000EE"/>
            </w:tcBorders>
          </w:tcPr>
          <w:p>
            <w:pPr>
              <w:spacing w:after="0"/>
              <w:rPr>
                <w:sz w:val="17"/>
                <w:szCs w:val="17"/>
                <w:color w:val="auto"/>
              </w:rPr>
            </w:pPr>
          </w:p>
        </w:tc>
        <w:tc>
          <w:tcPr>
            <w:tcW w:w="166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w:t>
            </w:r>
          </w:p>
        </w:tc>
        <w:tc>
          <w:tcPr>
            <w:tcW w:w="38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164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23"/>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Kyverna Therapeutics, Inc. Clawback Policy.</w:t>
              </w:r>
            </w:hyperlink>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3/26/2024</w:t>
            </w:r>
          </w:p>
        </w:tc>
        <w:tc>
          <w:tcPr>
            <w:tcW w:w="8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460" w:hanging="439"/>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460" w:hanging="439"/>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25" w:lineRule="exact"/>
        <w:rPr>
          <w:sz w:val="20"/>
          <w:szCs w:val="20"/>
          <w:color w:val="auto"/>
        </w:rPr>
      </w:pPr>
    </w:p>
    <w:p>
      <w:pPr>
        <w:ind w:left="460" w:right="540" w:hanging="439"/>
        <w:spacing w:after="0" w:line="28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 * * *…]) have been omitted because the registrant has determined that the information is both (i) not material and (ii) of the type that the Registrant treats as private and confidential.</w:t>
      </w:r>
    </w:p>
    <w:p>
      <w:pPr>
        <w:spacing w:after="0" w:line="162" w:lineRule="exact"/>
        <w:rPr>
          <w:sz w:val="20"/>
          <w:szCs w:val="20"/>
          <w:color w:val="auto"/>
        </w:rPr>
      </w:pPr>
    </w:p>
    <w:p>
      <w:pPr>
        <w:ind w:left="460" w:hanging="439"/>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3" w:lineRule="exact"/>
        <w:rPr>
          <w:sz w:val="20"/>
          <w:szCs w:val="20"/>
          <w:color w:val="auto"/>
        </w:rPr>
      </w:pPr>
    </w:p>
    <w:p>
      <w:pPr>
        <w:jc w:val="both"/>
        <w:ind w:right="80" w:firstLine="8"/>
        <w:spacing w:after="0" w:line="267" w:lineRule="auto"/>
        <w:tabs>
          <w:tab w:leader="none" w:pos="2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they are not applicable or required, or the information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set forth therein is included in the financial statements or notes thereto included in the Index to Financial Statements on Page F-1 of this Annual Report on Form 10-K.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229" w:lineRule="exact"/>
        <w:rPr>
          <w:sz w:val="20"/>
          <w:szCs w:val="20"/>
          <w:color w:val="auto"/>
        </w:rPr>
      </w:pPr>
    </w:p>
    <w:p>
      <w:pPr>
        <w:ind w:left="20"/>
        <w:spacing w:after="0"/>
        <w:tabs>
          <w:tab w:leader="none" w:pos="5420" w:val="left"/>
          <w:tab w:leader="none" w:pos="798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Warner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Warner Biddle</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Warner Biddle and Ryan Jones, and each of them, as his or her true and lawful attorney-in-fact and agent, with full power of substitution and resubstitution and full power to act without the other,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488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 Warner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Warner Biddle</w:t>
      </w:r>
    </w:p>
    <w:p>
      <w:pPr>
        <w:spacing w:after="0" w:line="28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Ryan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Ryan Jones</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Ian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Ian Clark</w:t>
      </w:r>
    </w:p>
    <w:p>
      <w:pPr>
        <w:spacing w:after="0" w:line="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 Fred E. Cohen, M.D., D.Phil.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488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Fred E. Cohen, M.D., D.Phil.</w:t>
      </w:r>
    </w:p>
    <w:p>
      <w:pPr>
        <w:spacing w:after="0" w:line="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 Mert Aktar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Mert Aktar</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Steve Liapis,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Steve Liapis, Ph.D.</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Beth Seidenberg,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Beth Seidenberg, M.D.</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Daniel Spiegelman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Daniel Spiegelman</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Christi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Christi Shaw</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0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c>
          <w:tcPr>
            <w:tcW w:w="12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27, 2025</w:t>
            </w:r>
          </w:p>
        </w:tc>
      </w:tr>
      <w:tr>
        <w:trPr>
          <w:trHeight w:val="495"/>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Pr>
          <w:p>
            <w:pPr>
              <w:spacing w:after="0"/>
              <w:rPr>
                <w:sz w:val="20"/>
                <w:szCs w:val="20"/>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27, 2025</w:t>
            </w:r>
          </w:p>
        </w:tc>
      </w:tr>
      <w:tr>
        <w:trPr>
          <w:trHeight w:val="527"/>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27, 2025</w:t>
            </w:r>
          </w:p>
        </w:tc>
      </w:tr>
      <w:tr>
        <w:trPr>
          <w:trHeight w:val="526"/>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27, 2025</w:t>
            </w:r>
          </w:p>
        </w:tc>
      </w:tr>
      <w:tr>
        <w:trPr>
          <w:trHeight w:val="527"/>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27, 2025</w:t>
            </w:r>
          </w:p>
        </w:tc>
      </w:tr>
      <w:tr>
        <w:trPr>
          <w:trHeight w:val="526"/>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27, 2025</w:t>
            </w:r>
          </w:p>
        </w:tc>
      </w:tr>
      <w:tr>
        <w:trPr>
          <w:trHeight w:val="527"/>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27, 2025</w:t>
            </w:r>
          </w:p>
        </w:tc>
      </w:tr>
      <w:tr>
        <w:trPr>
          <w:trHeight w:val="526"/>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27, 2025</w:t>
            </w:r>
          </w:p>
        </w:tc>
      </w:tr>
      <w:tr>
        <w:trPr>
          <w:trHeight w:val="527"/>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27, 2025</w:t>
            </w:r>
          </w:p>
        </w:tc>
      </w:tr>
    </w:tbl>
    <w:p>
      <w:pPr>
        <w:spacing w:after="0" w:line="393"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as of and for the Years Ended December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20" w:type="dxa"/>
            <w:vAlign w:val="bottom"/>
          </w:tcPr>
          <w:p>
            <w:pPr>
              <w:spacing w:after="0"/>
              <w:rPr>
                <w:sz w:val="24"/>
                <w:szCs w:val="24"/>
                <w:color w:val="auto"/>
              </w:rPr>
            </w:pPr>
          </w:p>
        </w:tc>
        <w:tc>
          <w:tcPr>
            <w:tcW w:w="104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P.C., San Diego, California PCAOB #243)</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F-2</w:t>
            </w:r>
          </w:p>
        </w:tc>
      </w:tr>
      <w:tr>
        <w:trPr>
          <w:trHeight w:val="318"/>
        </w:trPr>
        <w:tc>
          <w:tcPr>
            <w:tcW w:w="20" w:type="dxa"/>
            <w:vAlign w:val="bottom"/>
            <w:tcBorders>
              <w:top w:val="single" w:sz="8" w:color="0000EE"/>
              <w:bottom w:val="single" w:sz="8" w:color="0000EE"/>
            </w:tcBorders>
          </w:tcPr>
          <w:p>
            <w:pPr>
              <w:spacing w:after="0"/>
              <w:rPr>
                <w:sz w:val="24"/>
                <w:szCs w:val="24"/>
                <w:color w:val="auto"/>
              </w:rPr>
            </w:pPr>
          </w:p>
        </w:tc>
        <w:tc>
          <w:tcPr>
            <w:tcW w:w="3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Balance Sheets as of December 31, 2024 and 2023</w:t>
            </w:r>
          </w:p>
        </w:tc>
        <w:tc>
          <w:tcPr>
            <w:tcW w:w="20" w:type="dxa"/>
            <w:vAlign w:val="bottom"/>
            <w:tcBorders>
              <w:top w:val="single" w:sz="8" w:color="0000FF"/>
              <w:bottom w:val="single" w:sz="8" w:color="0000EE"/>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260" w:type="dxa"/>
            <w:vAlign w:val="bottom"/>
            <w:gridSpan w:val="7"/>
          </w:tcPr>
          <w:p>
            <w:pPr>
              <w:spacing w:after="0"/>
              <w:rPr>
                <w:sz w:val="24"/>
                <w:szCs w:val="24"/>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F-3</w:t>
            </w:r>
          </w:p>
        </w:tc>
      </w:tr>
      <w:tr>
        <w:trPr>
          <w:trHeight w:val="318"/>
        </w:trPr>
        <w:tc>
          <w:tcPr>
            <w:tcW w:w="20" w:type="dxa"/>
            <w:vAlign w:val="bottom"/>
            <w:tcBorders>
              <w:bottom w:val="single" w:sz="8" w:color="0000EE"/>
            </w:tcBorders>
          </w:tcPr>
          <w:p>
            <w:pPr>
              <w:spacing w:after="0"/>
              <w:rPr>
                <w:sz w:val="24"/>
                <w:szCs w:val="24"/>
                <w:color w:val="auto"/>
              </w:rPr>
            </w:pPr>
          </w:p>
        </w:tc>
        <w:tc>
          <w:tcPr>
            <w:tcW w:w="7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for the years ended December 31, 2024 and 2023</w:t>
            </w:r>
          </w:p>
        </w:tc>
        <w:tc>
          <w:tcPr>
            <w:tcW w:w="20" w:type="dxa"/>
            <w:vAlign w:val="bottom"/>
            <w:tcBorders>
              <w:bottom w:val="single" w:sz="8" w:color="0000EE"/>
            </w:tcBorders>
          </w:tcPr>
          <w:p>
            <w:pPr>
              <w:spacing w:after="0"/>
              <w:rPr>
                <w:sz w:val="24"/>
                <w:szCs w:val="24"/>
                <w:color w:val="auto"/>
              </w:rPr>
            </w:pPr>
          </w:p>
        </w:tc>
        <w:tc>
          <w:tcPr>
            <w:tcW w:w="3180" w:type="dxa"/>
            <w:vAlign w:val="bottom"/>
            <w:gridSpan w:val="4"/>
          </w:tcPr>
          <w:p>
            <w:pPr>
              <w:spacing w:after="0"/>
              <w:rPr>
                <w:sz w:val="24"/>
                <w:szCs w:val="24"/>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F-4</w:t>
            </w:r>
          </w:p>
        </w:tc>
      </w:tr>
      <w:tr>
        <w:trPr>
          <w:trHeight w:val="318"/>
        </w:trPr>
        <w:tc>
          <w:tcPr>
            <w:tcW w:w="20" w:type="dxa"/>
            <w:vAlign w:val="bottom"/>
          </w:tcPr>
          <w:p>
            <w:pPr>
              <w:spacing w:after="0"/>
              <w:rPr>
                <w:sz w:val="24"/>
                <w:szCs w:val="24"/>
                <w:color w:val="auto"/>
              </w:rPr>
            </w:pPr>
          </w:p>
        </w:tc>
        <w:tc>
          <w:tcPr>
            <w:tcW w:w="104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Statements of Redeemable Convertible Preferred Stock and Stockholders’ Equity (Deficit) for the years ended December 31, 2024 and 2023</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F-5</w:t>
            </w:r>
          </w:p>
        </w:tc>
      </w:tr>
      <w:tr>
        <w:trPr>
          <w:trHeight w:val="318"/>
        </w:trPr>
        <w:tc>
          <w:tcPr>
            <w:tcW w:w="20" w:type="dxa"/>
            <w:vAlign w:val="bottom"/>
            <w:tcBorders>
              <w:top w:val="single" w:sz="8" w:color="0000EE"/>
            </w:tcBorders>
          </w:tcPr>
          <w:p>
            <w:pPr>
              <w:spacing w:after="0"/>
              <w:rPr>
                <w:sz w:val="24"/>
                <w:szCs w:val="24"/>
                <w:color w:val="auto"/>
              </w:rPr>
            </w:pPr>
          </w:p>
        </w:tc>
        <w:tc>
          <w:tcPr>
            <w:tcW w:w="79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2024 and 2023</w:t>
            </w:r>
          </w:p>
        </w:tc>
        <w:tc>
          <w:tcPr>
            <w:tcW w:w="40" w:type="dxa"/>
            <w:vAlign w:val="bottom"/>
          </w:tcPr>
          <w:p>
            <w:pPr>
              <w:spacing w:after="0"/>
              <w:rPr>
                <w:sz w:val="24"/>
                <w:szCs w:val="24"/>
                <w:color w:val="auto"/>
              </w:rPr>
            </w:pPr>
          </w:p>
        </w:tc>
        <w:tc>
          <w:tcPr>
            <w:tcW w:w="21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F-6</w:t>
            </w:r>
          </w:p>
        </w:tc>
      </w:tr>
      <w:tr>
        <w:trPr>
          <w:trHeight w:val="318"/>
        </w:trPr>
        <w:tc>
          <w:tcPr>
            <w:tcW w:w="20" w:type="dxa"/>
            <w:vAlign w:val="bottom"/>
            <w:tcBorders>
              <w:top w:val="single" w:sz="8" w:color="0000EE"/>
            </w:tcBorders>
          </w:tcPr>
          <w:p>
            <w:pPr>
              <w:spacing w:after="0"/>
              <w:rPr>
                <w:sz w:val="24"/>
                <w:szCs w:val="24"/>
                <w:color w:val="auto"/>
              </w:rPr>
            </w:pPr>
          </w:p>
        </w:tc>
        <w:tc>
          <w:tcPr>
            <w:tcW w:w="5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5020" w:type="dxa"/>
            <w:vAlign w:val="bottom"/>
            <w:gridSpan w:val="6"/>
          </w:tcPr>
          <w:p>
            <w:pPr>
              <w:spacing w:after="0"/>
              <w:rPr>
                <w:sz w:val="24"/>
                <w:szCs w:val="24"/>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F-7</w:t>
            </w:r>
          </w:p>
        </w:tc>
      </w:tr>
      <w:tr>
        <w:trPr>
          <w:trHeight w:val="884"/>
        </w:trPr>
        <w:tc>
          <w:tcPr>
            <w:tcW w:w="20" w:type="dxa"/>
            <w:vAlign w:val="bottom"/>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F-1</w:t>
            </w:r>
          </w:p>
        </w:tc>
        <w:tc>
          <w:tcPr>
            <w:tcW w:w="74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Kyverna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Emeryville, California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Kyverna Therapeutics, Inc. (the “Company”) as of December 31, 2024 and 2023, the related statements of operations and comprehensive loss, redeemable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231F20"/>
        </w:rPr>
        <w:t>Kyverna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96,621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189,358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304,645</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license expense – related party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short-term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 short-term portion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net of short-term portion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 net of short-term portion</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38,058</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no par value; no shares authorized, issued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December 31, 2024; $0.00001 par value, 114,556,997 shares authorized as of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2023; 114,556,997 shares issued and outstanding as of December 31, 2023;</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liquidation preference of $181,273 as of December 31, 2023</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Preferred stock, 10,000,000 shares authorized, $0.00001 par value, no shares issued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December 31, 2024; no shares authorized, issued, and outstanding as of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2023</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380"/>
              <w:spacing w:after="0" w:line="198" w:lineRule="exact"/>
              <w:rPr>
                <w:sz w:val="20"/>
                <w:szCs w:val="20"/>
                <w:color w:val="auto"/>
              </w:rPr>
            </w:pPr>
            <w:r>
              <w:rPr>
                <w:rFonts w:ascii="Times New Roman" w:cs="Times New Roman" w:eastAsia="Times New Roman" w:hAnsi="Times New Roman"/>
                <w:sz w:val="18"/>
                <w:szCs w:val="18"/>
                <w:color w:val="auto"/>
              </w:rPr>
              <w:t>Common stock, $0.00001 par value; 490,000,000 and 140,492,016 shares authorized as of</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2024 and 2023, respectively; 43,214,918 and 1,250,103 shares issued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as of December 31, 2024 and 2023, respectively</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(263,520 )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(136,043 )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266,587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(131,397 )</w:t>
            </w:r>
          </w:p>
        </w:tc>
        <w:tc>
          <w:tcPr>
            <w:tcW w:w="0" w:type="dxa"/>
            <w:vAlign w:val="bottom"/>
          </w:tcPr>
          <w:p>
            <w:pPr>
              <w:spacing w:after="0"/>
              <w:rPr>
                <w:sz w:val="1"/>
                <w:szCs w:val="1"/>
                <w:color w:val="auto"/>
              </w:rPr>
            </w:pPr>
          </w:p>
        </w:tc>
      </w:tr>
      <w:tr>
        <w:trPr>
          <w:trHeight w:val="191"/>
        </w:trPr>
        <w:tc>
          <w:tcPr>
            <w:tcW w:w="7720" w:type="dxa"/>
            <w:vAlign w:val="bottom"/>
            <w:tcBorders>
              <w:top w:val="single" w:sz="8" w:color="CFF0FC"/>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304,645</w:t>
            </w:r>
          </w:p>
        </w:tc>
        <w:tc>
          <w:tcPr>
            <w:tcW w:w="280" w:type="dxa"/>
            <w:vAlign w:val="bottom"/>
            <w:tcBorders>
              <w:top w:val="single" w:sz="8" w:color="CFF0FC"/>
            </w:tcBorders>
          </w:tcPr>
          <w:p>
            <w:pPr>
              <w:spacing w:after="0"/>
              <w:rPr>
                <w:sz w:val="16"/>
                <w:szCs w:val="16"/>
                <w:color w:val="auto"/>
              </w:rPr>
            </w:pPr>
          </w:p>
        </w:tc>
        <w:tc>
          <w:tcPr>
            <w:tcW w:w="46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75,195</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520"/>
              <w:spacing w:after="0" w:line="194" w:lineRule="exact"/>
              <w:rPr>
                <w:sz w:val="20"/>
                <w:szCs w:val="20"/>
                <w:color w:val="auto"/>
              </w:rPr>
            </w:pPr>
            <w:r>
              <w:rPr>
                <w:rFonts w:ascii="Times New Roman" w:cs="Times New Roman" w:eastAsia="Times New Roman" w:hAnsi="Times New Roman"/>
                <w:sz w:val="18"/>
                <w:szCs w:val="18"/>
                <w:color w:val="auto"/>
              </w:rPr>
              <w:t>stockholders’ equity (deficit)</w:t>
            </w: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-5297170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-5297170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-4465320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-4465320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-2639695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231F20"/>
        </w:rPr>
        <w:t>Kyverna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112,473</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62,406</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(142,604 )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(62,406 )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(127,477 )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(60,366 )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available-for-sale marketable securities,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other 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(127,376 )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(60,336 )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(3.33 )</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(89.61 )</w:t>
            </w:r>
          </w:p>
        </w:tc>
      </w:tr>
      <w:tr>
        <w:trPr>
          <w:trHeight w:val="196"/>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38,334,571</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673,622</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-1919605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-1071245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231F20"/>
        </w:rPr>
        <w:t>Kyverna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740" w:type="dxa"/>
            <w:vAlign w:val="bottom"/>
          </w:tcPr>
          <w:p>
            <w:pPr>
              <w:spacing w:after="0"/>
              <w:rPr>
                <w:sz w:val="3"/>
                <w:szCs w:val="3"/>
                <w:color w:val="auto"/>
              </w:rPr>
            </w:pPr>
          </w:p>
        </w:tc>
        <w:tc>
          <w:tcPr>
            <w:tcW w:w="194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2740" w:type="dxa"/>
            <w:vAlign w:val="bottom"/>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940" w:type="dxa"/>
            <w:vAlign w:val="bottom"/>
            <w:gridSpan w:val="5"/>
            <w:vMerge w:val="continue"/>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37"/>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060" w:type="dxa"/>
            <w:vAlign w:val="bottom"/>
            <w:gridSpan w:val="2"/>
          </w:tcPr>
          <w:p>
            <w:pPr>
              <w:jc w:val="center"/>
              <w:ind w:right="178"/>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94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40" w:type="dxa"/>
            <w:vAlign w:val="bottom"/>
            <w:tcBorders>
              <w:left w:val="single" w:sz="8" w:color="auto"/>
            </w:tcBorders>
          </w:tcPr>
          <w:p>
            <w:pPr>
              <w:spacing w:after="0"/>
              <w:rPr>
                <w:sz w:val="12"/>
                <w:szCs w:val="12"/>
                <w:color w:val="auto"/>
              </w:rPr>
            </w:pPr>
          </w:p>
        </w:tc>
        <w:tc>
          <w:tcPr>
            <w:tcW w:w="120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040" w:type="dxa"/>
            <w:vAlign w:val="bottom"/>
            <w:gridSpan w:val="3"/>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060" w:type="dxa"/>
            <w:vAlign w:val="bottom"/>
            <w:gridSpan w:val="2"/>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2022</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82,504,003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120,674</w:t>
            </w:r>
          </w:p>
        </w:tc>
        <w:tc>
          <w:tcPr>
            <w:tcW w:w="240" w:type="dxa"/>
            <w:vAlign w:val="bottom"/>
            <w:shd w:val="clear" w:color="auto" w:fill="CFF0FC"/>
          </w:tcPr>
          <w:p>
            <w:pPr>
              <w:spacing w:after="0"/>
              <w:rPr>
                <w:sz w:val="12"/>
                <w:szCs w:val="12"/>
                <w:color w:val="auto"/>
              </w:rPr>
            </w:pPr>
          </w:p>
        </w:tc>
        <w:tc>
          <w:tcPr>
            <w:tcW w:w="140" w:type="dxa"/>
            <w:vAlign w:val="bottom"/>
            <w:tcBorders>
              <w:left w:val="single" w:sz="8" w:color="auto"/>
            </w:tcBorders>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1,007,537</w:t>
            </w:r>
          </w:p>
        </w:tc>
        <w:tc>
          <w:tcPr>
            <w:tcW w:w="48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1,706</w:t>
            </w:r>
          </w:p>
        </w:tc>
        <w:tc>
          <w:tcPr>
            <w:tcW w:w="380" w:type="dxa"/>
            <w:vAlign w:val="bottom"/>
            <w:gridSpan w:val="2"/>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(75,677 )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(26 )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FF0FC"/>
          </w:tcPr>
          <w:p>
            <w:pPr>
              <w:jc w:val="right"/>
              <w:ind w:right="18"/>
              <w:spacing w:after="0" w:line="142" w:lineRule="exact"/>
              <w:rPr>
                <w:sz w:val="20"/>
                <w:szCs w:val="20"/>
                <w:color w:val="auto"/>
              </w:rPr>
            </w:pPr>
            <w:r>
              <w:rPr>
                <w:rFonts w:ascii="Times New Roman" w:cs="Times New Roman" w:eastAsia="Times New Roman" w:hAnsi="Times New Roman"/>
                <w:sz w:val="13"/>
                <w:szCs w:val="13"/>
                <w:color w:val="auto"/>
              </w:rPr>
              <w:t>(73,997 )</w:t>
            </w:r>
          </w:p>
        </w:tc>
        <w:tc>
          <w:tcPr>
            <w:tcW w:w="0" w:type="dxa"/>
            <w:vAlign w:val="bottom"/>
          </w:tcPr>
          <w:p>
            <w:pPr>
              <w:spacing w:after="0"/>
              <w:rPr>
                <w:sz w:val="1"/>
                <w:szCs w:val="1"/>
                <w:color w:val="auto"/>
              </w:rPr>
            </w:pPr>
          </w:p>
        </w:tc>
      </w:tr>
      <w:tr>
        <w:trPr>
          <w:trHeight w:val="117"/>
        </w:trPr>
        <w:tc>
          <w:tcPr>
            <w:tcW w:w="27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Series B redeemable convertible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lef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preferred stock for cash, net of issuance costs of</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59,900</w:t>
            </w:r>
          </w:p>
        </w:tc>
        <w:tc>
          <w:tcPr>
            <w:tcW w:w="24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$100</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32,052,994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left w:val="single" w:sz="8" w:color="auto"/>
            </w:tcBorders>
          </w:tcPr>
          <w:p>
            <w:pPr>
              <w:spacing w:after="0"/>
              <w:rPr>
                <w:sz w:val="13"/>
                <w:szCs w:val="13"/>
                <w:color w:val="auto"/>
              </w:rPr>
            </w:pPr>
          </w:p>
        </w:tc>
        <w:tc>
          <w:tcPr>
            <w:tcW w:w="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Vesting of early exercised options and restricted</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tcBorders>
              <w:left w:val="single" w:sz="8" w:color="auto"/>
            </w:tcBorders>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shares issued upon exercise of options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242,566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(60,366 )</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(60,366 )</w:t>
            </w:r>
          </w:p>
        </w:tc>
        <w:tc>
          <w:tcPr>
            <w:tcW w:w="0" w:type="dxa"/>
            <w:vAlign w:val="bottom"/>
          </w:tcPr>
          <w:p>
            <w:pPr>
              <w:spacing w:after="0"/>
              <w:rPr>
                <w:sz w:val="1"/>
                <w:szCs w:val="1"/>
                <w:color w:val="auto"/>
              </w:rPr>
            </w:pPr>
          </w:p>
        </w:tc>
      </w:tr>
      <w:tr>
        <w:trPr>
          <w:trHeight w:val="117"/>
        </w:trPr>
        <w:tc>
          <w:tcPr>
            <w:tcW w:w="27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Unrealized gain on available-for-sale marketable</w:t>
            </w:r>
          </w:p>
        </w:tc>
        <w:tc>
          <w:tcPr>
            <w:tcW w:w="10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shd w:val="clear" w:color="auto" w:fill="CFF0FC"/>
          </w:tcPr>
          <w:p>
            <w:pPr>
              <w:ind w:left="20"/>
              <w:spacing w:after="0" w:line="140" w:lineRule="exact"/>
              <w:rPr>
                <w:sz w:val="20"/>
                <w:szCs w:val="20"/>
                <w:color w:val="auto"/>
              </w:rPr>
            </w:pPr>
            <w:r>
              <w:rPr>
                <w:rFonts w:ascii="Times New Roman" w:cs="Times New Roman" w:eastAsia="Times New Roman" w:hAnsi="Times New Roman"/>
                <w:sz w:val="13"/>
                <w:szCs w:val="13"/>
                <w:color w:val="auto"/>
              </w:rPr>
              <w:t>securities, net</w:t>
            </w:r>
          </w:p>
        </w:tc>
        <w:tc>
          <w:tcPr>
            <w:tcW w:w="10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140" w:type="dxa"/>
            <w:vAlign w:val="bottom"/>
            <w:tcBorders>
              <w:left w:val="single" w:sz="8" w:color="auto"/>
            </w:tcBorders>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40" w:type="dxa"/>
            <w:vAlign w:val="bottom"/>
            <w:tcBorders>
              <w:top w:val="single" w:sz="8" w:color="CFF0FC"/>
              <w:bottom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114,556,997</w:t>
            </w: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180,574</w:t>
            </w: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CFF0FC"/>
              <w:left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1,250,103</w:t>
            </w:r>
          </w:p>
        </w:tc>
        <w:tc>
          <w:tcPr>
            <w:tcW w:w="220" w:type="dxa"/>
            <w:vAlign w:val="bottom"/>
            <w:tcBorders>
              <w:top w:val="single" w:sz="8" w:color="CFF0FC"/>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4,642</w:t>
            </w:r>
          </w:p>
        </w:tc>
        <w:tc>
          <w:tcPr>
            <w:tcW w:w="220" w:type="dxa"/>
            <w:vAlign w:val="bottom"/>
            <w:tcBorders>
              <w:top w:val="single" w:sz="8" w:color="CFF0FC"/>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(136,043</w:t>
            </w:r>
          </w:p>
        </w:tc>
        <w:tc>
          <w:tcPr>
            <w:tcW w:w="220" w:type="dxa"/>
            <w:vAlign w:val="bottom"/>
            <w:tcBorders>
              <w:top w:val="single" w:sz="8" w:color="CFF0FC"/>
              <w:bottom w:val="single" w:sz="8" w:color="CFF0FC"/>
            </w:tcBorders>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CFF0FC"/>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CFF0FC"/>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(131,397</w:t>
            </w:r>
          </w:p>
        </w:tc>
        <w:tc>
          <w:tcPr>
            <w:tcW w:w="100" w:type="dxa"/>
            <w:vAlign w:val="bottom"/>
            <w:tcBorders>
              <w:top w:val="single" w:sz="8" w:color="CFF0FC"/>
              <w:bottom w:val="single" w:sz="8" w:color="CFF0FC"/>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740" w:type="dxa"/>
            <w:vAlign w:val="bottom"/>
            <w:shd w:val="clear" w:color="auto" w:fill="CFF0FC"/>
          </w:tcPr>
          <w:p>
            <w:pPr>
              <w:ind w:left="20"/>
              <w:spacing w:after="0" w:line="98" w:lineRule="exact"/>
              <w:rPr>
                <w:sz w:val="20"/>
                <w:szCs w:val="20"/>
                <w:color w:val="auto"/>
              </w:rPr>
            </w:pPr>
            <w:r>
              <w:rPr>
                <w:rFonts w:ascii="Times New Roman" w:cs="Times New Roman" w:eastAsia="Times New Roman" w:hAnsi="Times New Roman"/>
                <w:sz w:val="10"/>
                <w:szCs w:val="10"/>
                <w:color w:val="auto"/>
              </w:rPr>
              <w:t>Issuance of common stock upon initial public</w:t>
            </w:r>
          </w:p>
        </w:tc>
        <w:tc>
          <w:tcPr>
            <w:tcW w:w="8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0" w:type="dxa"/>
            <w:vAlign w:val="bottom"/>
            <w:tcBorders>
              <w:left w:val="single" w:sz="8" w:color="auto"/>
            </w:tcBorders>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offering, net of underwriting commissions and</w:t>
            </w: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336,164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costs of $30,686</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140" w:type="dxa"/>
            <w:vAlign w:val="bottom"/>
            <w:tcBorders>
              <w:left w:val="single" w:sz="8" w:color="auto"/>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16,675,000</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336,164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Conversion of redeemable convertible preferred</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lef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into common stock in connection with initial</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(114,556,99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180,574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public offering</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7 )</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(180,574 )</w:t>
            </w:r>
          </w:p>
        </w:tc>
        <w:tc>
          <w:tcPr>
            <w:tcW w:w="140" w:type="dxa"/>
            <w:vAlign w:val="bottom"/>
            <w:tcBorders>
              <w:left w:val="single" w:sz="8" w:color="auto"/>
            </w:tcBorders>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25,171,265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180,574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shares issued upon exercise of options</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118,550</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Vesting of early exercised options and restricted</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tcBorders>
              <w:left w:val="single" w:sz="8" w:color="auto"/>
            </w:tcBorders>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(127,477 )</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(127,477 )</w:t>
            </w:r>
          </w:p>
        </w:tc>
        <w:tc>
          <w:tcPr>
            <w:tcW w:w="0" w:type="dxa"/>
            <w:vAlign w:val="bottom"/>
          </w:tcPr>
          <w:p>
            <w:pPr>
              <w:spacing w:after="0"/>
              <w:rPr>
                <w:sz w:val="1"/>
                <w:szCs w:val="1"/>
                <w:color w:val="auto"/>
              </w:rPr>
            </w:pPr>
          </w:p>
        </w:tc>
      </w:tr>
      <w:tr>
        <w:trPr>
          <w:trHeight w:val="117"/>
        </w:trPr>
        <w:tc>
          <w:tcPr>
            <w:tcW w:w="27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Unrealized gain on available-for-sale marketable</w:t>
            </w:r>
          </w:p>
        </w:tc>
        <w:tc>
          <w:tcPr>
            <w:tcW w:w="10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auto"/>
            </w:tcBorders>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40" w:type="dxa"/>
            <w:vAlign w:val="bottom"/>
            <w:shd w:val="clear" w:color="auto" w:fill="CFF0FC"/>
          </w:tcPr>
          <w:p>
            <w:pPr>
              <w:ind w:left="20"/>
              <w:spacing w:after="0" w:line="140" w:lineRule="exact"/>
              <w:rPr>
                <w:sz w:val="20"/>
                <w:szCs w:val="20"/>
                <w:color w:val="auto"/>
              </w:rPr>
            </w:pPr>
            <w:r>
              <w:rPr>
                <w:rFonts w:ascii="Times New Roman" w:cs="Times New Roman" w:eastAsia="Times New Roman" w:hAnsi="Times New Roman"/>
                <w:sz w:val="13"/>
                <w:szCs w:val="13"/>
                <w:color w:val="auto"/>
              </w:rPr>
              <w:t>securities, net</w:t>
            </w:r>
          </w:p>
        </w:tc>
        <w:tc>
          <w:tcPr>
            <w:tcW w:w="10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140" w:type="dxa"/>
            <w:vAlign w:val="bottom"/>
            <w:tcBorders>
              <w:left w:val="single" w:sz="8" w:color="auto"/>
            </w:tcBorders>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40" w:type="dxa"/>
            <w:vAlign w:val="bottom"/>
            <w:tcBorders>
              <w:top w:val="single" w:sz="8" w:color="CFF0FC"/>
              <w:bottom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CFF0FC"/>
              <w:left w:val="single" w:sz="8" w:color="auto"/>
              <w:bottom w:val="single" w:sz="8" w:color="CFF0FC"/>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43,214,918</w:t>
            </w:r>
          </w:p>
        </w:tc>
        <w:tc>
          <w:tcPr>
            <w:tcW w:w="220" w:type="dxa"/>
            <w:vAlign w:val="bottom"/>
            <w:tcBorders>
              <w:top w:val="single" w:sz="8" w:color="CFF0FC"/>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ind w:left="80"/>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530,002</w:t>
            </w:r>
          </w:p>
        </w:tc>
        <w:tc>
          <w:tcPr>
            <w:tcW w:w="220" w:type="dxa"/>
            <w:vAlign w:val="bottom"/>
            <w:tcBorders>
              <w:top w:val="single" w:sz="8" w:color="CFF0FC"/>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(263,520</w:t>
            </w:r>
          </w:p>
        </w:tc>
        <w:tc>
          <w:tcPr>
            <w:tcW w:w="220" w:type="dxa"/>
            <w:vAlign w:val="bottom"/>
            <w:tcBorders>
              <w:top w:val="single" w:sz="8" w:color="CFF0FC"/>
              <w:bottom w:val="single" w:sz="8" w:color="CFF0FC"/>
            </w:tcBorders>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105</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CFF0FC"/>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CFF0FC"/>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266,587</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-2253615</wp:posOffset>
            </wp:positionV>
            <wp:extent cx="47402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-1824990</wp:posOffset>
            </wp:positionV>
            <wp:extent cx="16287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162877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-1636395</wp:posOffset>
            </wp:positionV>
            <wp:extent cx="16287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1628775"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-1370965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-1370965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-1370965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-1370965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-1370965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-1370965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-1370965</wp:posOffset>
            </wp:positionV>
            <wp:extent cx="8743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-1002665</wp:posOffset>
            </wp:positionV>
            <wp:extent cx="5054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-1002665</wp:posOffset>
            </wp:positionV>
            <wp:extent cx="7372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-650875</wp:posOffset>
            </wp:positionV>
            <wp:extent cx="7372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-384810</wp:posOffset>
            </wp:positionV>
            <wp:extent cx="7372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-119380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-119380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-119380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-119380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-119380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-119380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-119380</wp:posOffset>
            </wp:positionV>
            <wp:extent cx="8743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7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231F20"/>
        </w:rPr>
        <w:t>Kyverna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Statements of Cash Flows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7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w w:val="95"/>
              </w:rPr>
              <w:t>(127,477 )</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(60,366 )</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operations: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8,357</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discounts on available-for-sale marketable securities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(7,664 )</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(1,501 )</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(1,192 )</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non-current assets</w:t>
            </w:r>
          </w:p>
        </w:tc>
        <w:tc>
          <w:tcPr>
            <w:tcW w:w="96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(1,955 )</w:t>
            </w:r>
          </w:p>
        </w:tc>
        <w:tc>
          <w:tcPr>
            <w:tcW w:w="9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(1,849 )</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compensation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10,905</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6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(2,399 )</w:t>
            </w:r>
          </w:p>
        </w:tc>
        <w:tc>
          <w:tcPr>
            <w:tcW w:w="9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(1,679 )</w:t>
            </w:r>
          </w:p>
        </w:tc>
      </w:tr>
      <w:tr>
        <w:trPr>
          <w:trHeight w:val="196"/>
        </w:trPr>
        <w:tc>
          <w:tcPr>
            <w:tcW w:w="774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(114,250</w:t>
            </w:r>
          </w:p>
        </w:tc>
        <w:tc>
          <w:tcPr>
            <w:tcW w:w="28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(52,410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available-for-sale marketable securities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5"/>
              </w:rPr>
              <w:t>(489,997 )</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(54,847 )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maturities of available-for-sale marketable securities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331,300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46,683</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(2,205 )</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(621 )</w:t>
            </w:r>
          </w:p>
        </w:tc>
      </w:tr>
      <w:tr>
        <w:trPr>
          <w:trHeight w:val="196"/>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(160,902</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upon initial public offering, net of underwriting commissions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341,171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redeemable convertible preferred stock, net of issuance costs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59,900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paid on finance lease liabilities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(956 )</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offering costs</w:t>
            </w:r>
          </w:p>
        </w:tc>
        <w:tc>
          <w:tcPr>
            <w:tcW w:w="96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(3,361 )</w:t>
            </w:r>
          </w:p>
        </w:tc>
        <w:tc>
          <w:tcPr>
            <w:tcW w:w="9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(1,646 )</w:t>
            </w:r>
          </w:p>
        </w:tc>
      </w:tr>
      <w:tr>
        <w:trPr>
          <w:trHeight w:val="196"/>
        </w:trPr>
        <w:tc>
          <w:tcPr>
            <w:tcW w:w="77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337,113</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58,118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(3,077 )</w:t>
            </w: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35,212</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97,173</w:t>
            </w: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35,212</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statement of</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96,621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8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97,173</w:t>
            </w: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35,212</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for non-cash investing and financing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114,556,997 shares of redeemable convertible preferred stock to common stock shares upon the</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 of initial public offering</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180,574</w:t>
            </w:r>
          </w:p>
        </w:tc>
        <w:tc>
          <w:tcPr>
            <w:tcW w:w="28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Unpaid deferred offering costs included in accounts payable and other current</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7"/>
                <w:szCs w:val="17"/>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Right-of-use asset obtained in exchange for operating and finance lease liability</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-4504055</wp:posOffset>
            </wp:positionV>
            <wp:extent cx="93980" cy="1708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-4504055</wp:posOffset>
            </wp:positionV>
            <wp:extent cx="93980" cy="1708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-3715385</wp:posOffset>
            </wp:positionV>
            <wp:extent cx="939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-3715385</wp:posOffset>
            </wp:positionV>
            <wp:extent cx="939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-2669540</wp:posOffset>
            </wp:positionV>
            <wp:extent cx="9398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-2669540</wp:posOffset>
            </wp:positionV>
            <wp:extent cx="9398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-2253615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Organization and Liquidity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Kyverna Therapeutics, Inc. (“Kyverna” or “the Company”) is a clinical-stage biopharmaceutical company focused on developing cell therapies for patients with autoimmune diseases. The lead product candidate, KYV-101, is advancing through late-stage clinical development across two broad areas of autoimmune disease: neuroinflammation and rheumatology. The Company was incorporated on June 14, 2018, was initially named BAIT Therapeutics, Inc., changed its name to Kyverna Therapeutics, Inc. on October 1, 2019, and is headquartered in Emeryville, California.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February 7, 2024, the Company’s Registration Statement on Form S-1 for its initial public offering (the “IPO”) was declared effective, and on February 12, 2024, the Company closed the IPO and issued 16,675,000 shares of common stock at a price to the public of $22.00 per share, including 2,175,000 shares issued upon the exercise of underwriters’ option to purchase additional shares of common stock. The Company received gross proceeds of $366.9 million. Net proceeds were $336.2 million, after deducting underwriting commissions and other offering costs totaling $30.7 million. On February 8, 2024, the Company’s common stock began trading on the Nasdaq Global Select Market under the symbol “KYTX”. Immediately prior to the IPO closing, all of the outstanding shares of the Company’s redeemable convertible preferred stock converted into shares of the Company’s common stock on a 1-for-4.5511 basis.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January 30, 2024, the Company’s shareholders approved and the Company effected a reverse stock split of the shares of common stock at a ratio of 1-for-4.5511 (the “Reverse Stock Split”). The number of authorized shares and par value per share were not adjusted as a result of the Reverse Stock Split. All references to shares, restricted stock awards, restricted stock units and options to purchase common stock, share data, per share data, and related information contained in the financial statements have been retrospectively adjusted to reflect the effect of the Reverse Stock Split for all periods presented. The conversion ratios for each series of the Company’s redeemable convertible preferred stock, which was automatically converted into shares of common stock upon the closing of the IPO, were proportionally adjusted.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The Company has incurred losses and negative cash flows from operations since inception. As of December 31, 2024, the Company has an accumulated deficit of $263.5 million. The Company had net losses of $127.5 million and $60.4 million for the years ended December 31, 2024 and 2023, respectively. The Company had cash used in operations of $114.3 million and $52.4 million for the years ended December 31, 2024 and 2023, respectively.</w:t>
      </w:r>
    </w:p>
    <w:p>
      <w:pPr>
        <w:spacing w:after="0" w:line="15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issuances of redeemable convertible preferred stock and convertible notes, revenue from its collaboration agreement and sale of shares of its common stock in the IPO. As of December 31, 2024, the Company had cash and cash equivalents and available-for-sale marketable securities of $286.0 million. The Company expects to continue to incur operating losses and negative cash flows from operations to support the development of its product candidates, to expand its product portfolio and to continue its research and development activities, including preclinical studies and clinical trials. The Company’s activities are subject to significant risks and uncertainties, including the completion of requisite clinical activities to support regulatory approvals, market acceptance of the Company’s product candidates, if approved, as well as the timing and extent of spending on research and development. There can be no assurance that the Company will ever earn revenue or achieve profitability, or if achieved, that the revenue or profitability will be sustained on a continuing basis. Unless and until it does, the Company will need to continue to raise additional capital. Based on its current operating plan, management estimates that its existing cash and cash equivalents and available for sale marketable securities balances will be sufficient to fund its operating plan and capital expenditure requirements for at least the next 12 months from the date of issuance of these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financial statements have been prepared in accordance with accounting principles generally accepted in the United States (“GAAP”).</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231F20"/>
        </w:rPr>
        <w:t>Any reference in these notes to applicable guidance is meant to refer to the authoritative GAAP as found in the Accounting Standards Codification (“ASC”) and Accounting Standards Updates (“ASU”) of the Financial Accounting Standards Board (“FASB”).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accrued expenses, valuation of its common stock prior to the IPO, stock-based compensation, valuation of deferred tax assets and uncertain income tax positions. Management bases its estimates on historical experience and on various other assumptions that are believed to be reasonable under the circumstances, the results of which form the basis for making judgments about the carrying values of assets and liabilities and the amount reported as revenue and expenses that are not readily apparent from other sources. Actual results may differ materially from those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and Cash Equivalents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Cash and cash equivalents include cash in readily available checking accounts and available-for-sale marketable securities with maturities of less than 90 days from the date of purchase.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Restricted Cash</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As of each of December 31, 2024 and 2023, the Company had $0.6 million of long-term restricted cash held as security for the Company’s building lease. The entire amount is deposited with a financial institution and held in separate bank accounts.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Available-For-Sale Marketable Securities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Available-for-sale marketable securities as of December 31, 2024, consist of U.S treasury bills </w:t>
      </w:r>
      <w:r>
        <w:rPr>
          <w:rFonts w:ascii="Times New Roman" w:cs="Times New Roman" w:eastAsia="Times New Roman" w:hAnsi="Times New Roman"/>
          <w:sz w:val="18"/>
          <w:szCs w:val="18"/>
          <w:color w:val="000000"/>
        </w:rPr>
        <w:t>with original maturities of greater than 90 days</w:t>
      </w:r>
      <w:r>
        <w:rPr>
          <w:rFonts w:ascii="Times New Roman" w:cs="Times New Roman" w:eastAsia="Times New Roman" w:hAnsi="Times New Roman"/>
          <w:sz w:val="18"/>
          <w:szCs w:val="18"/>
          <w:color w:val="231F20"/>
        </w:rPr>
        <w:t xml:space="preserve"> from the date of purchase. As the Company’s entire investment portfolio is considered available for use in current operations, the Company classifies all investments as available-for-sale and as current assets, even though the stated maturity may be more than one year from the current balance sheet date. The Company carries available-for-sale marketable securities at fair value. Unrealized gains and losses on available-for-sale debt marketable securities are reported in accumulated other comprehensive loss, which is a separate component of stockholders’ deficit. The cost of available-for-sale debt marketable securities is adjusted for amortization of premiums and accretion of discounts to maturity. The amortization and accretion are included in interest income together with interest and dividends. The cost of securities sold is based on the specific identification method.</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Realized gains and losses on the sale of securities are determined by specific identification of each security’s cost basis. The Company regularly reviews its investment portfolio to determine if any security is impaired, which would require it to record an allowance for credit losses or an impairment charge in the period any such determination is made. In making this judgment, the Company evaluates, among other things, the extent to which the fair value of a security is less than its amortized cost, its intent to sell or whether it is more likely than not that the Company will be required to sell the security before recovery of its amortized cost basis, the financial condition of the issuer and any changes thereto, and, as necessary, the portion of a decline in fair value that is credit-related. This assessment could change in the future due to new developments or changes in assumptions related to any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7" w:name="page168"/>
    <w:bookmarkEnd w:id="167"/>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particular security. Realized gains and losses, allowances for credit losses and impairments on available-for-sale securities, if any, are recorded to interest expense in the statements of operations and comprehensive loss. Interest receivable is recognized in prepaid expenses and other current assets on the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Concentrations of Credit Risk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Cash, cash equivalents, restricted cash and available-for-sale marketable securities are financial instruments that potentially subject the Company to concentrations of credit risk. As of December 31, 2024, the Company also had investments in money market funds, corporate debt obligations and U.S. Treasury bills, which can be subject to certain credit risks. The Company mitigates the risks by investing in high-grade instruments, limiting its exposure to any one issuer and monitoring the ongoing creditworthiness of the financial institutions and issuers. The Company has not experienced any material losses on its financial instruments and has full access to and control over all of its cash, cash equivalents and available-for-sale marketable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Risks and Uncertainties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The Company is subject to certain risks and uncertainties, including, but not limited to, changes in any of the following areas that the Company believes could have a material adverse effect on its future financial position or results of operations: the Company’s ability to advance the development of its analytics platform and timing and ability to advance its product candidates through preclinical and clinical development; costs and timelines associated with the manufacturing of clinical supplies; regulatory approval, market acceptance of, and reimbursement for, any product candidates the Company may develop; performance of third-party vendors; competition from pharmaceutical or other biotechnology companies with greater financial resources or expertise; protection of intellectual property; litigation or claims against the Company based on intellectual property or other factors; and its ability to attract and retain employees necessary to support its growth.</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The Company’s business and operations may be affected by worldwide economic conditions, which may continue to be impacted by global macroeconomic challenges, such as the effects of the ongoing geopolitical conflicts in Ukraine and in Gaza, tensions in U.S.-China relations, uncertainty in the markets, including disruptions in the banking industry and inflationary trends.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Fair Value Measurement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Fair value is defined as the price that would be received to sell an asset or paid to transfer a liability in an orderly transaction between market participants at the measurement date. The carrying amounts of cash equivalents, prepaid expenses and other current assets, accounts payable, accrued expenses and other liabilities approximate fair value due to their short-term maturities. Financial instruments, such as money market funds and available-for-sale marketable securities, are measured at fair value at each reporting date (see Note 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Deferred Offering Costs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231F20"/>
        </w:rPr>
        <w:t>Deferred offering costs, consisting of legal, accounting and other third-party fees directly relating to in-process equity financings or offerings, are capitalized. The deferred offering costs are offset against offering proceeds upon the completion of the financing or the offering. The Company had zero and $2.5 million deferred offering costs recorded as other non-current assets as of December 31,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231F20"/>
        </w:rPr>
        <w:t>Property and equipment are recorded at cost, net of accumulated depreciation and amortization. Depreciation is recorded using the straight-line method over the estimated useful lives of the assets. Property and equipment consisted almost exclusively of assets with useful lives of five years. Leasehold improvements are capitalized and amortized over the shorter of the expected life or lease term. Major replacements and improvements are capitalized, while general repairs and maintenance are expensed as incurred.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8" w:name="page169"/>
    <w:bookmarkEnd w:id="16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The Company determines whether an arrangement is a lease at inception. Specifically, it considers whether it controls the underlying asset and has the right to obtain substantially all of the economic benefits or outputs from the asset. If the contractual arrangement contains a lease, the Company then determines the classification of the lease, operating or finance, using the classification criteria described in ASC Topic 842, </w:t>
      </w:r>
      <w:r>
        <w:rPr>
          <w:rFonts w:ascii="Times New Roman" w:cs="Times New Roman" w:eastAsia="Times New Roman" w:hAnsi="Times New Roman"/>
          <w:sz w:val="18"/>
          <w:szCs w:val="18"/>
          <w:i w:val="1"/>
          <w:iCs w:val="1"/>
          <w:color w:val="231F20"/>
        </w:rPr>
        <w:t>Leases</w:t>
      </w:r>
      <w:r>
        <w:rPr>
          <w:rFonts w:ascii="Times New Roman" w:cs="Times New Roman" w:eastAsia="Times New Roman" w:hAnsi="Times New Roman"/>
          <w:sz w:val="18"/>
          <w:szCs w:val="18"/>
          <w:color w:val="231F20"/>
        </w:rPr>
        <w:t xml:space="preserve"> (“ASC 842”). Operating and finance lease right-of-use assets and liabilities are recognized at the lease commencement date based on the present value of lease payments over the lease term. Operating lease expense is recognized on a straight-line basis over the lease term. For finance leases, the right-of-use asset is amortized on a straight-line basis over the shorter of the useful life of the asset or the lease term, and interest expense on the lease liability is recorded separately using the interest method.</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The Company has elected not to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12 months or less.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Acquisitions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Company evaluates acquisitions of assets and other similar transactions to assess whether the transaction should be accounted for as a business combination or an asset acquisition by first applying a screen test to determine if substantially all of the fair value of the gross assets acquired is concentrated in a single identifiable asset or group of similar identifiable assets. If the screen test is met, the transaction is accounted for as an asset acquisition. If the screen test is not met, further determination is required as to whether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The Company measures and recognizes asset acquisitions that are not deemed to be business combinations based on the cost to acquire the assets, which includes transaction costs. Goodwill is not recognized in asset acquisitions. In an asset acquisition, the cost allocated to acquire in-process research and development with no alternative future use is charged to research and development expense at the acquisition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Costs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All patent-related costs incurred in connection with filing and prosecuting patent applications are expensed as incurred due to the uncertainty of the recovery of the expenditure. Amounts incurred are classified as general and administrative expenses in the statements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Impairment of Long-Lived Assets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The Company reviews its long-lived assets, principally property and equipment and operating and finance right-of-use assets, for impairment whenever events or changes in business circumstances indicate the carrying amount of an asset may not be fully recoverable. Recoverability of assets held and used is measured by comparing the carrying amount of an asset to future net cash flows expected to be generated by the asset. If the Company determines that the carrying value of long-lived assets may not be recoverable, the impairment to be recognized is measured by the amount by which the carrying amount of the assets exceeds the fair value of the assets. Fair value is determined through various valuation techniques, principally discounted cash flow models, to assess the fair values of long-lived assets. The Company did not record any impairment of long-lived assets during the years ended December 31, 2024 and 2023.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Redeemable Convertible Preferred Stock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Company records redeemable convertible preferred stock at fair value on the date of issuance, net of issuance costs. The redeemable convertible preferred stock was recorded separate from stockholders’ deficit because the shares contain deemed liquidation features that were not solely within the Company’s control. The holders of the preferred stock controlled a majority of the votes of the board of directors of the Company through direct representation. Accordingly, the preferred stock is classified as temporary equity in the Company’s balance sheets. The Company did not adjust the carrying values of the redeemable convertible preferred stock to the liquidation preferences of such stock because it was uncertain whether or when a deemed liquidation event would occur that would obligate the Company to pay the liquidation preferences to holders of redeemable convertible preferred stock. In connection with the closing of the IPO in February 2024, all outstanding shares of redeemable convertible preferred stock were converted into shares of common stock on a 1-for-4.5511 basis.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Research and development expenses are charged to expense as incurred. Research and development expenses include certain payroll and personnel expenses, license fees, laboratory supplies, consulting costs, external contract research and development expenses and allocated overhead, including rent, equipment depreciation and utilities. Advance payments for goods or services for future research and development activities are deferred as prepaid expenses and expensed as the goods are delivered or the related services are performed.</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231F20"/>
        </w:rPr>
        <w:t>The Company has entered into various agreements with outsourced vendors, clinical manufacturing organizations (“CMOs”) and clinical research organizations (“CROs”). The Company makes estimates of accrued research and development expenses as of each balance sheet date based on facts and circumstances known at that time. The Company periodically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The estimated costs of research and development services provided, but not yet invoiced, are included in accrued expenses on the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 Expense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The Company accounts for stock-based compensation by measuring and recognizing compensation expense for all stock-based payments based on estimated grant-date fair values. For awards with service-based vesting conditions, the Company recognizes stock-based compensation expense on a straight-line basis over the requisite service or vesting period.</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Company estimates the fair value of stock options using the Black-Scholes option-valuation model. The Black-Scholes model requires the input of subjective assumptions, including expected volatility, expected dividend yield, expected term, risk-free rate of return and the estimated fair value of the underlying common stock on the date of grant. The Company accounts for forfeitures as they occur. The fair value of restricted stock awards granted to employees is valued as of the grant date using the estimated fair value of the Company’s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Foreign Currency Transactions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231F20"/>
        </w:rPr>
        <w:t>Transactions denominated in foreign currencies are initially measured in U.S. dollars using the exchange rate on the date of the transaction. Foreign currency denominated monetary assets and liabilities are subsequently remeasured at the end of each reporting period using the exchange rate at that date, with the corresponding foreign currency transaction gain or loss recorded in the statements of operations and comprehensive loss.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Loss Per Share Attributable to Common Stockholders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common stock subject to repurchase, unvested restricted stock units and stock options are considered to be potentially dilutive securities. Because the Company has reported a net loss for the reporting periods presented, the diluted net loss per common share is the same as basic net loss per common share for those periods.</w:t>
      </w:r>
    </w:p>
    <w:p>
      <w:pPr>
        <w:spacing w:after="0" w:line="187"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231F20"/>
        </w:rPr>
        <w:t>Basic and diluted net loss attributable to common stockholders per share was presented in conformity with the two-class method required for participating securities as the redeemable convertible preferred stock and common stock subject to repurchase are considered participating securities. The redeemable convertible preferred stock did not have a contractual obligation to share in the Company’s losses, and common stock subject to repurchase is considered an unvested stock-based compensation award for accounting purposes. As such, the net loss was attributed entirely to common stockholders.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Comprehensive Loss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Comprehensive loss is comprised of net loss and other comprehensive income (loss). Other comprehensive income (loss) represents unrealized gains and losses arising during the period on available-for-sale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 Company accounts for income taxes using the asset and liability method; under this method, deferred tax assets and liabilities are determined based on differences between financial reporting and tax reporting basis of assets and liabilities and are measured using enacted tax rates and laws that are expected to be in effect when the differences are expected to reverse. Realization of deferred tax assets is dependent upon future earnings, the timing and amount of which are uncertain.</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if all or part of the net deferred tax assets are determined not to be realizable in the future, an adjustment to the valuation allowance would be charged to the provision of income taxes in the period when such determination is made.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Tax benefits related to uncertain tax positions are recognized when it is more likely than not that a tax position will be sustained during an audit. Tax positions that meet the more-likely-than-not threshold are measured at the largest amount of tax benefit that is greater than 50% likely of being realized upon settlement with the taxing authority. Interest and penalties related to unrecognized tax benefits are included within the provision for income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Accounting Pronouncements</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extended transition period for complying with new or revised accounting standards. As a result, the Company’s financial statements may not be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comparable to the financial statements of issuers who are required to comply with the effective date for new or revised accounting standards that are applicable to public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Recently Adopted Accounting Pronouncements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In November 2023, the FASB issued ASU 2023-07, Segment Reporting (Topic 280): </w:t>
      </w:r>
      <w:r>
        <w:rPr>
          <w:rFonts w:ascii="Times New Roman" w:cs="Times New Roman" w:eastAsia="Times New Roman" w:hAnsi="Times New Roman"/>
          <w:sz w:val="18"/>
          <w:szCs w:val="18"/>
          <w:i w:val="1"/>
          <w:iCs w:val="1"/>
          <w:color w:val="231F20"/>
        </w:rPr>
        <w:t>Improvements to Reportable Segment Disclosures</w:t>
      </w:r>
      <w:r>
        <w:rPr>
          <w:rFonts w:ascii="Times New Roman" w:cs="Times New Roman" w:eastAsia="Times New Roman" w:hAnsi="Times New Roman"/>
          <w:sz w:val="18"/>
          <w:szCs w:val="18"/>
          <w:color w:val="231F20"/>
        </w:rPr>
        <w:t>. This ASU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the new standard for the fiscal year 2024. The impact of adoption resulted in enhanced disclosures in the notes to the financial statements (see Note 14, “Segment Reporting”).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New Accounting Pronouncements Not Yet Adopted</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ASU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amendments in this ASU should be applied prospectively; however, retrospective application is also permitted. The Company is currently evaluating the impact from the adoption of this standard on the Company’s financial statements.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amendments in ASU 2024-03 require a public business entity to disclose specific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in the notes to its financial statements for interim and annual reporting periods. The objective of the disclosure requirements is to provide disaggregated information about a public business entity's expenses to help investors (a) better understand the entity's performance, (b) better assess the entity's prospects for future cash flows, and (c) compare an entity's performance over time and with that of other entities. ASU 2024-03 is effective for fiscal years beginning after December 15, 2026, and for interim periods within fiscal years beginning after December 15, 2027, with early adoption permitted. The Company is currently evaluating the impact of the adoption of this standard on its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 and Fair Value of Financial Instruments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authoritative guidance on fair value measurements establishes a three-tier fair value hierarchy for disclosure of fair value measurements, as follows: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right="3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9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cash equivalents and available-for-sale marketable securities measured at fair value on a recurring basis as of December 31, 2024, was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vMerge w:val="restart"/>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cash equivalents and available-for-sale marketable securities measured at fair value on a recurring basis as of December 31, 2023, was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vMerge w:val="restart"/>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51,946</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-25400</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consist of the Company’s cash equivalents and available-for-sale marketable securities. Cash equivalents consisted of money market funds, corporate debt obligations, U.S. Treasury bills and available-for-sale marketable securities consisted of U.S. Treasury bills. The Company obtains pricing information from its investment manager and generally determines the fair value of available-for-sale marketable securities using standard observable inputs, including reported trades, broker/dealer quotes and bids and/or offers. The Company recognizes transfers into and out of levels within the fair value hierarchy in the period in which the actual event or change in circumstances that caused the transfer occurs.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Available-for-Sale Marketable Securities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Company’s available-for-sale marketable securities consisted of debt securities issued by the U.S. Treasury and corporate debt obligations with contractual maturities on various dates within the next 12 months.</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unrealized gains and losses and fair value of the Company’s available-for-sale marketable securities as of December 31, 2024 (in thousands):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7620</wp:posOffset>
            </wp:positionV>
            <wp:extent cx="32232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jc w:val="both"/>
        <w:ind w:left="580" w:right="40"/>
        <w:spacing w:after="0" w:line="253" w:lineRule="auto"/>
        <w:rPr>
          <w:sz w:val="20"/>
          <w:szCs w:val="20"/>
          <w:color w:val="auto"/>
        </w:rPr>
      </w:pPr>
      <w:r>
        <w:rPr>
          <w:rFonts w:ascii="Times New Roman" w:cs="Times New Roman" w:eastAsia="Times New Roman" w:hAnsi="Times New Roman"/>
          <w:sz w:val="18"/>
          <w:szCs w:val="18"/>
          <w:color w:val="auto"/>
        </w:rPr>
        <w:t>Money market funds (included in cash and cash equivalents) U.S. Treasury obligations ($25,426 included in cash and cash equivalents)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9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9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0" w:type="dxa"/>
            <w:vAlign w:val="bottom"/>
          </w:tcPr>
          <w:p>
            <w:pPr>
              <w:spacing w:after="0"/>
              <w:rPr>
                <w:sz w:val="1"/>
                <w:szCs w:val="1"/>
                <w:color w:val="auto"/>
              </w:rPr>
            </w:pPr>
          </w:p>
        </w:tc>
      </w:tr>
      <w:tr>
        <w:trPr>
          <w:trHeight w:val="306"/>
        </w:trPr>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214,784</w:t>
            </w: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-409575</wp:posOffset>
            </wp:positionV>
            <wp:extent cx="641223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060" w:space="720"/>
            <w:col w:w="54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obligations (included in cash and cash equivalents)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33,912</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 for sale marketable securities</w:t>
            </w:r>
          </w:p>
        </w:tc>
        <w:tc>
          <w:tcPr>
            <w:tcW w:w="3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285,334</w:t>
            </w:r>
          </w:p>
        </w:tc>
        <w:tc>
          <w:tcPr>
            <w:tcW w:w="2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F-14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-1216660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-1216660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-1216660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-1216660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3" w:name="page174"/>
    <w:bookmarkEnd w:id="173"/>
    <w:p>
      <w:pPr>
        <w:spacing w:after="0" w:line="26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$96.1 million was included in cash equivalents and $189.4 million was included in available-for-sale marketable securities.</w:t>
      </w:r>
    </w:p>
    <w:p>
      <w:pPr>
        <w:spacing w:after="0" w:line="24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unrealized gains and losses and fair value of the Company’s available-for-sale marketable securities as of December 31, 2023 (in thousands):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22,892</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 for sale marketable securities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and 2023, no significant facts or circumstances were present to indicate a deterioration in the creditworthiness of the issuers of the Company’s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by such conditions. For all securities with a fair value less than its amortized cost basis, the Company determined the decline in fair value below amortized cost basis to be immaterial and non-credit related, and therefore no allowance for losses has been recorded. During the years ended December 31, 2024 and 2023, the Company did not recognize any impairment losses on its investments.</w:t>
      </w:r>
    </w:p>
    <w:p>
      <w:pPr>
        <w:spacing w:after="0" w:line="25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each of December 31, 2024 and 2023, accrued interest receivable was zero. The Company’s accounting policy is to not measure an allowance for credit losses for accrued interest receivables and to write-off any uncollectible accrued interest receivable as a reversal of interest income in a timely manner, which it considers to be in the period in which the Company determines the accrued interest will not be collected. The Company did not write off any accrued interest receivables for the year ended December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8"/>
                <w:szCs w:val="18"/>
                <w:color w:val="auto"/>
              </w:rPr>
            </w:pPr>
          </w:p>
        </w:tc>
      </w:tr>
      <w:tr>
        <w:trPr>
          <w:trHeight w:val="20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(3,672 )</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(2,488 )</w:t>
            </w: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approximately $1.2 million and $0.9 million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74" w:name="page175"/>
    <w:bookmarkEnd w:id="174"/>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Accrued Expenses and Current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36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5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CRO research and development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CMO research and development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8"/>
                <w:szCs w:val="18"/>
                <w:color w:val="auto"/>
              </w:rPr>
            </w:pPr>
          </w:p>
        </w:tc>
      </w:tr>
      <w:tr>
        <w:trPr>
          <w:trHeight w:val="216"/>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License and Collaboration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Agreements with the National Institutes of Health</w:t>
      </w:r>
    </w:p>
    <w:p>
      <w:pPr>
        <w:spacing w:after="0" w:line="121"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In May 2021, the Company entered into two patent license agreements (the “NIH Agreements”) with the National Institutes of Health (the “NIH”), pursuant to which the Company obtained exclusive, worldwide licenses to certain patents to use an anti-CD19 CAR in the Company’s autologous and allogeneic CAR T-cell products for the treatment of patients with autoimmune disease. The Company paid $3.3 million for acquired licenses.</w:t>
      </w:r>
    </w:p>
    <w:p>
      <w:pPr>
        <w:spacing w:after="0" w:line="15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Under the NIH Agreements, commencing in January 2023 and subsequently on January 1 of each calendar year thereafter, the Company is also required to make minimum annual royalty payments of $0.2 million, which shall be credited against any earned royalties due based on a low single-digit percentage of net sales made in a respective year. In addition, benchmark royalties following the completion of certain regulatory-and clinical-related benchmarks are due to the NIH, with the minimum cumulative royalty due for a product reaching FDA approval or foreign-equivalent approval totaling $5.7 million for the autologous patent license agreement and $1.7 million for the allogeneic patent license agreement. Additional benchmark royalties would be payable for a subsequent indication under each NIH Agreement. If the Company enters into a sublicensing agreement, it will be required to pay the NIH a sublicense royalty payment as a percentage of the fair market value of any consideration received for each sublicense granted. The sublicensing percentage starts at a high teens to low twenties percentage if clinical trials for the product have not yet begun and decreases to a mid-single-digit percentage if the product has received FDA approval or foreign-equivalent approval.</w:t>
      </w:r>
    </w:p>
    <w:p>
      <w:pPr>
        <w:spacing w:after="0" w:line="18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Unless terminated sooner, the NIH Agreements remain in effect until the last licensed patent right granted pursuant to the respective agreement expires.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acquisition of the licenses, including patent rights and know-how, was accounted for as an asset acquisition. As the acquired technology did not have an alternative use for accounting purposes, the consideration of $3.3 million was recorded as research and development expense in the statements of operations and comprehensive loss for the year ended December 31, 2021. The Company recognized $0.2 million as research and development expense related to minimum annual royalty payments in each of the years ended December 31, 2024 and 2023. As of December 31, 2024, the Company recognized $0.6 million related to benchmark royalties for regulatory approvals and patients’ dosing in clinical trials as research and development expenses in the statement of operations and comprehensive loss. As of December 31, 2024, $0.6 million were recorded as accounts payable in the balance sheet. No other benchmark royalties were probable or payable as of December 31,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 License and Collaboration Agreement</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License and Collaboration Agreement (the “Intellia Agreement”) with Intellia Therapeutics, Inc. (“Intellia”) to research and develop an allogeneic CD19-directed CAR cell therapy product (the “CRISPR Product”), suitable for validation through pre-clinical and clinical proof-of-concept clinical trials, including the performance of activities as agreed in the collaboration plan. Pursuant to the Intellia Agreement, Intellia granted to the Company an exclusive, worldwide, sublicensable in multiple tiers, royalty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5" w:name="page176"/>
    <w:bookmarkEnd w:id="175"/>
    <w:p>
      <w:pPr>
        <w:spacing w:after="0" w:line="8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bearing license under certain of Intellia’s intellectual property to research, develop, sell and otherwise exploit the CRISPR Product. The Company is performing the majority of the work under the collaboration plan.</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consideration for the licenses granted to the Company pursuant to the Intellia Agreement, the Company issued to Intellia shares of its Series B Preferred Stock with the fair value of $7.0 million. The Company is also obligated to make aggregate milestone payments to Intellia of up to $64.5 million upon the achievement of specified development and regulatory milestones and is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Under the Intellia Agreement, Intellia owns rights, title and interests in and to any intellectual property developed in the course of performance under the Intellia Agreement that is not specifically directed to the CRISPR Product. The Company granted to Intellia certain non-exclusive, royalty-free, fully paid-up, worldwide licenses under the Company’s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Company granted Intellia an exclusive option (the “Intellia Option”) to enter into a co-development and co-commercialization agreement with the Company for the CRISPR Product, (the “Co-Co Agreement”) for a fee payable to the Company. If Intellia exercises the Intellia Option, the Company and Intellia would share equally the regulatory and clinical development expenses associated with obtaining approval of the CRISPR Product in the U.S. and would also share equally all net profits and losses from commercialization of the CRISPR Product in the U.S. If Intellia exercises the Intellia Option, no milestone payments will be due and payable from that time forward and the Company will only pay royalties on sales outside of the U.S. In addition, upon exercise of the Intellia Option, following regulatory approval of the CRISPR Product, Intellia will have exclusive commercialization rights for the CRISPR Product for U.S. administration, subject to the Company’s rights to co-promote the CRISPR Product in the U.S., and the Company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spacing w:after="0" w:line="1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the Company participates in legal action or proceeding challenging the validity or enforceability of Intellia’s patents, or by the execution of the Co-Co Agreement. The Company may terminate the Intellia Agreement in its entirety, or on a country-by-country basis, by providing a written notice after the expiration or termination of the Intellia Option. Following the expiration of the term for a given country, the licenses granted to the Company in such country will automatically become fully paid-up, perpetual, irrevocable and royalty-free licenses.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milestone payments were probable or payable as of December 31, 2024 and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 (Related Party)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January 2020, the Company entered into the Collaboration, Option and License Agreement (the “Gilead Agreement”) with Gilead Sciences, Inc. (“Gilead”). Simultaneously with the entry into the Gilead Agreement, the Company entered into (i) a License Agreement (the “Kite Agreement”) with Kite Pharma, Inc. (“Kite”), an affiliate of Gilead (see below), and (ii) a stock purchase agreement, pursuant to which the Company issued to Gilead an aggregate of 6,890,744 shares of its Series A-2 redeemable convertible preferred stock, of which 4,042,066 shares were issued as consideration under the Kite Agreement (see below).</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Gilead Agreement initially involved the research and development of cell-based products for the treatment, diagnosis or prevention of two indications under two research programs and non-exclusive research licenses, specifically, Crohn’s disease, or Program A, and Ulcerative colitis, or Program B.</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November 30, 2022, after the completion of research activities under Program A and Program B, Gilead provided the Company with notice that Program A and Program B were terminated.</w:t>
      </w:r>
    </w:p>
    <w:p>
      <w:pPr>
        <w:spacing w:after="0" w:line="16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On October 24, 2023, Gilead provided the Company with 90 days’ written notice to terminate the Gilead Agreement, and such termination became effective as of January 22, 2024. As of and for the years ended December 31, 2024 and 2023, there were no activities and contract balances related to the Gilead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Kite License Agreement (Related Party)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Concurrently with the Gilead Agreement, the Company entered into the Kite Agreement. Pursuant to the Kite Agreement, Kite granted to the Company a ten-year, co-exclusive license for the SynNotch technology primarily used in the Company’s own internal research and development programs for the treatment, diagnosis or prevention of autoimmune, inflammatory or allogeneic stem cell transplant inflammatory diseases (excluding post-transplant infectious diseases). Upon expiration of the ten-year co-exclusive license term, the license will become a non-exclusive license through expiration of the related patents.</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Kite had licensed certain of the SynNotch technology included in the Kite Agreement pursuant to that certain Amended and Restated Exclusive License Agreement, between The Regents of the University of California and Kite (as successor to Cell Design Labs, Inc.) (the “UCSF License Agreement”). The Company is responsible for all costs and payments arising under the UCSF License Agreement and as a result of activities under the Kite Agreement, including earned royalties based on a low single-digit percentage of net sales, milestone payments in an aggregate amount of up to $10.8 million and accrued interest payables.</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Pursuant to the Kite Agreement, the Company is also obligated to pay mid-teen-and mid-single-digit percentages of annual maintenance fees, minimum annual royalties and patent prosecution costs payable under the UCSF License Agreement during the co-exclusive term and non-exclusive term, respectively. The Company was also obligated to pay a $6.3 million sublicensing fee under the UCSF License Agreement, which the Company agreed to offset with future milestone payments payable by Gilead under the Gilead Agreement.</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Unless terminated earlier, the Kite Agreement will expire upon the expiration of all licensed patents and Kite improvement patents therein. The Company has the right to terminate the Kite Agreement at will, in the Company’s sole discretion, in its entirety upon 90 days’ written notice to Kite. In addition, either party may terminate the Kite Agreement for uncured material breach by the other party, or upon the occurrence of insolvency-related events of the other party.</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acquisition of the co-exclusive license under the Kite Agreement, including patent rights and know-how, was accounted for as an asset acquisition. As the acquired technology did not have an alternative use for accounting purposes, the license consideration of $3.5 million and the sublicensing fee of $6.3 million was recorded as a research and development expense in the statements of operations and comprehensive loss for the year ended December 31, 2020.</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the total sublicensing fee of $6.3 million as current accrued license expense—related party. There are no future milestones payable to offset the sublicensing fee due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termination of the Gilead Agreement. The Company and Gilead have not yet agreed on the settlement of the sublicensing fee.</w:t>
      </w:r>
    </w:p>
    <w:p>
      <w:pPr>
        <w:spacing w:after="0" w:line="22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annual maintenance fee, patent prosecution costs and minimal annual royalties are expensed as incurred and were minimal for each of the years ended December 31, 2024 and 2023.</w:t>
      </w:r>
    </w:p>
    <w:p>
      <w:pPr>
        <w:spacing w:after="0" w:line="266" w:lineRule="exact"/>
        <w:rPr>
          <w:sz w:val="20"/>
          <w:szCs w:val="20"/>
          <w:color w:val="auto"/>
        </w:rPr>
      </w:pPr>
    </w:p>
    <w:p>
      <w:pPr>
        <w:ind w:right="8040" w:firstLine="8"/>
        <w:spacing w:after="0" w:line="378" w:lineRule="auto"/>
        <w:tabs>
          <w:tab w:leader="none" w:pos="1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Commitments and Contingent Liabilities License Agreements</w:t>
      </w: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entered into license agreements with the NIH, Intellia and Kite (see Note 6), pursuant to which the Company is required to pay certain milestone payments contingent upon the achievement of specific development and regulatory events. During the year ended December 31, 2024, the Company recognized $0.6 million related to benchmark royalties under the NIH Agreement as research and development expenses in the statement of operations and comprehensive loss. As of December 31, 2024, $0.6 million were recorded as accounts payable in the balance sheet. No other milestones were achieved or probable as of December 31, 2024 and 2023. The Company is required to pay royalties on sales of products developed under these agreements. The Company’s product candidates were in clinical trials or the pre-clinical stage of development as of December 31, 2024 and 2023, and no such royalties were due.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CROs for clinical trials, with CMOs for clinical supplies manufacturing and with other vendors for preclinical studies, supplies and other products and services for operating purposes. These agreements generally provide for termination at the request of either party generally with less than one-year notice. The Company does not expect any of these agreements to be terminated and does not have any non-cancellable obligations under these agreements as of December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is required to determine both probability and the estimated amount.</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1D252D"/>
        </w:rPr>
        <w:t>O</w:t>
      </w:r>
      <w:r>
        <w:rPr>
          <w:rFonts w:ascii="Times New Roman" w:cs="Times New Roman" w:eastAsia="Times New Roman" w:hAnsi="Times New Roman"/>
          <w:sz w:val="18"/>
          <w:szCs w:val="18"/>
          <w:color w:val="000000"/>
        </w:rPr>
        <w:t>n December 9, 2024, a shareholder class action complaint was filed in the United States District Court for the Northern District of California</w:t>
      </w:r>
      <w:r>
        <w:rPr>
          <w:rFonts w:ascii="Times New Roman" w:cs="Times New Roman" w:eastAsia="Times New Roman" w:hAnsi="Times New Roman"/>
          <w:sz w:val="18"/>
          <w:szCs w:val="18"/>
          <w:color w:val="1D252D"/>
        </w:rPr>
        <w:t xml:space="preserve"> </w:t>
      </w:r>
      <w:r>
        <w:rPr>
          <w:rFonts w:ascii="Times New Roman" w:cs="Times New Roman" w:eastAsia="Times New Roman" w:hAnsi="Times New Roman"/>
          <w:sz w:val="18"/>
          <w:szCs w:val="18"/>
          <w:color w:val="000000"/>
        </w:rPr>
        <w:t>against the Company, certain of its current and former officers and directors, and the underwriters of the IPO. The complaint alleges that the registration statement on Form S-1 filed in connection with the IPO and the prospectus contained therein contained material misstatements or omissions in violation of federal securities laws. The Company intends to defend the claims in this lawsuit vigorously and believes it has good and substantial defenses to the claims in the complaint, but there is no guarantee that the Company will be successful in these efforts. Given the complexity of the issues in the lawsuit, the fact that the lawsuit was recently filed and is in its early stages, and the inherent uncertainty of litigation, the Company is unable to make any predictions about the ultimate outcome of this matter. As a result, the Company is unable to determine whether any loss ultimately will occur or to estimate the range of such loss. No amount of loss has been accrued in the accompanying financial statements for the year ended December 31,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2024 and 2023, the Company does not have any material indemnification claims that were probable or reasonably possible.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leased office and laboratory space in Emeryville, California under operating leases which have terms through February 2027. The lease includes an option to extend the lease for an additional 36 months. The Company does not believe that the option to extend the lease is reasonably certain of being exercised, and therefore did not include it in the computations of the present value of the remaining lease payments at lease commencement. In addition to the base rent, which includes escalating payments over the lease term, the Company pays variable costs related to operating expenses and taxes, which are recognized as incurred.</w:t>
      </w:r>
    </w:p>
    <w:p>
      <w:pPr>
        <w:spacing w:after="0" w:line="183"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Company has multiple leases for laboratory equipment with terms of 36 months that are accounted for as finance leases. Some of the Company’s office and lab space were leased under short-term lease agreements during the years ended December 31, 2024 and 2023.</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Components of the lease expense for the years ended December 31, 2024 and 2023, were as follows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2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3,252</w:t>
            </w:r>
          </w:p>
        </w:tc>
        <w:tc>
          <w:tcPr>
            <w:tcW w:w="9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2,429</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1,072</w:t>
            </w: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Borders>
              <w:bottom w:val="single" w:sz="8" w:color="CFF0FC"/>
            </w:tcBorders>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72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5,415</w:t>
            </w: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4,425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for the years ended December 31, 2024 and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8"/>
        </w:trPr>
        <w:tc>
          <w:tcPr>
            <w:tcW w:w="1700" w:type="dxa"/>
            <w:vAlign w:val="bottom"/>
          </w:tcPr>
          <w:p>
            <w:pPr>
              <w:spacing w:after="0"/>
              <w:rPr>
                <w:sz w:val="17"/>
                <w:szCs w:val="17"/>
                <w:color w:val="auto"/>
              </w:rPr>
            </w:pPr>
          </w:p>
        </w:tc>
        <w:tc>
          <w:tcPr>
            <w:tcW w:w="3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w w:val="99"/>
              </w:rPr>
              <w:t>Cash paid for amounts included in the measurement</w:t>
            </w:r>
          </w:p>
        </w:tc>
        <w:tc>
          <w:tcPr>
            <w:tcW w:w="1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15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3,073</w:t>
            </w:r>
          </w:p>
        </w:tc>
        <w:tc>
          <w:tcPr>
            <w:tcW w:w="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2,384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3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lease</w:t>
            </w:r>
          </w:p>
        </w:tc>
        <w:tc>
          <w:tcPr>
            <w:tcW w:w="1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obligations upon inception of lease (noncash):</w:t>
            </w:r>
          </w:p>
        </w:tc>
        <w:tc>
          <w:tcPr>
            <w:tcW w:w="15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2,518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864"/>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60" w:type="dxa"/>
            <w:vAlign w:val="bottom"/>
            <w:gridSpan w:val="2"/>
          </w:tcPr>
          <w:p>
            <w:pPr>
              <w:jc w:val="right"/>
              <w:ind w:right="1848"/>
              <w:spacing w:after="0"/>
              <w:rPr>
                <w:sz w:val="20"/>
                <w:szCs w:val="20"/>
                <w:color w:val="auto"/>
              </w:rPr>
            </w:pPr>
            <w:r>
              <w:rPr>
                <w:rFonts w:ascii="Times New Roman" w:cs="Times New Roman" w:eastAsia="Times New Roman" w:hAnsi="Times New Roman"/>
                <w:sz w:val="18"/>
                <w:szCs w:val="18"/>
                <w:color w:val="auto"/>
                <w:w w:val="93"/>
              </w:rPr>
              <w:t>F-20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by year of future payments of the Company’s lease liabilities as of December 31, 2024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42"/>
        </w:trPr>
        <w:tc>
          <w:tcPr>
            <w:tcW w:w="53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00" w:type="dxa"/>
            <w:vAlign w:val="bottom"/>
            <w:tcBorders>
              <w:top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(734 )</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r>
      <w:tr>
        <w:trPr>
          <w:trHeight w:val="209"/>
        </w:trPr>
        <w:tc>
          <w:tcPr>
            <w:tcW w:w="5300" w:type="dxa"/>
            <w:vAlign w:val="bottom"/>
            <w:tcBorders>
              <w:top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3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(3,161 )</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(779 )</w:t>
            </w: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-736600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-736600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-453390</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weighted-average remaining lease term and discount rate related to the Company’s operating lease liabilities as of December 31, 2024, were 2.1 years and 9%, respectively. The weighted-average remaining lease term and discount rate related to the Company’s finance lease liabilities as of December 31, 2024, were 1.1 years and 11%, respectively. The weighted-average remaining lease term and discount rate related to the Company’s operating lease liabilities as of December 31, 2023, were 3.1 years and 8%, respectively. The weighted-average remaining lease term and discount rate related to the Company’s finance lease liabilities as of December 31, 2023, were 2.0 years and 11%, respectively. The discount rates were based on the Company’s estimate of its incremental borrowing rate, as the discount rates implicit in the leases could not be readily determined. As the Company does not have any outstanding debt, the Company estimated the incremental borrowing rate based on its estimated credit rating and available market information.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June 2023 and July 2023, the Company issued 32,052,994 additional shares of Series B redeemable convertible preferred stock to existing and new investors for an aggregate cash consideration of $60.0 million at a price per share of $1.8719, net of $0.1 million issuance costs.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February 12, 2024, in connection with the closing of the IPO, all outstanding shares redeemable convertible preferred stock automatically converted into 25,171,265 shares of common stock. Subsequent to the closing of the IPO, there were no shares of redeemable convertible preferred stock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and 2023, common stock shares reserved for future issuance were as follows:</w:t>
      </w:r>
    </w:p>
    <w:p>
      <w:pPr>
        <w:spacing w:after="0" w:line="219"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7620</wp:posOffset>
            </wp:positionV>
            <wp:extent cx="23145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ind w:left="7280"/>
        <w:spacing w:after="0"/>
        <w:tabs>
          <w:tab w:leader="none" w:pos="9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-3175</wp:posOffset>
            </wp:positionV>
            <wp:extent cx="5915025"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5915025" cy="14605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Redeemable convertible preferred stock, as converted</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Outstanding stock option awards (349,321 shares issued in connection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the early exercised options for a non-recourse promissory note 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excluded from shares reserved for issuance as of December 31, 2023 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5715</wp:posOffset>
            </wp:positionV>
            <wp:extent cx="5915025"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5915025" cy="13716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Unvested restricted stock units awards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Shares available for future options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5715</wp:posOffset>
            </wp:positionV>
            <wp:extent cx="5915025" cy="274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5915025" cy="274320"/>
                    </a:xfrm>
                    <a:prstGeom prst="rect">
                      <a:avLst/>
                    </a:prstGeom>
                    <a:noFill/>
                  </pic:spPr>
                </pic:pic>
              </a:graphicData>
            </a:graphic>
          </wp:anchor>
        </w:drawing>
      </w:r>
    </w:p>
    <w:p>
      <w:pPr>
        <w:ind w:left="980" w:right="720"/>
        <w:spacing w:after="0" w:line="250" w:lineRule="auto"/>
        <w:rPr>
          <w:sz w:val="20"/>
          <w:szCs w:val="20"/>
          <w:color w:val="auto"/>
        </w:rPr>
      </w:pPr>
      <w:r>
        <w:rPr>
          <w:rFonts w:ascii="Times New Roman" w:cs="Times New Roman" w:eastAsia="Times New Roman" w:hAnsi="Times New Roman"/>
          <w:sz w:val="18"/>
          <w:szCs w:val="18"/>
          <w:color w:val="auto"/>
        </w:rPr>
        <w:t>Shares available for future grants under the Employee Stock Purchase Plan</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Total shares reserved for future issuance</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25,171,265</w:t>
      </w: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7,595,9223,960,713</w:t>
      </w:r>
    </w:p>
    <w:p>
      <w:pPr>
        <w:spacing w:after="0" w:line="333" w:lineRule="exact"/>
        <w:rPr>
          <w:sz w:val="20"/>
          <w:szCs w:val="20"/>
          <w:color w:val="auto"/>
        </w:rPr>
      </w:pPr>
    </w:p>
    <w:p>
      <w:pPr>
        <w:ind w:left="220"/>
        <w:spacing w:after="0"/>
        <w:tabs>
          <w:tab w:leader="none" w:pos="2520" w:val="left"/>
        </w:tabs>
        <w:rPr>
          <w:sz w:val="20"/>
          <w:szCs w:val="20"/>
          <w:color w:val="auto"/>
        </w:rPr>
      </w:pPr>
      <w:r>
        <w:rPr>
          <w:rFonts w:ascii="Times New Roman" w:cs="Times New Roman" w:eastAsia="Times New Roman" w:hAnsi="Times New Roman"/>
          <w:sz w:val="18"/>
          <w:szCs w:val="18"/>
          <w:color w:val="auto"/>
        </w:rPr>
        <w:t>549,001</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00"/>
        <w:spacing w:after="0"/>
        <w:tabs>
          <w:tab w:leader="none" w:pos="2120" w:val="left"/>
        </w:tabs>
        <w:rPr>
          <w:sz w:val="20"/>
          <w:szCs w:val="20"/>
          <w:color w:val="auto"/>
        </w:rPr>
      </w:pPr>
      <w:r>
        <w:rPr>
          <w:rFonts w:ascii="Times New Roman" w:cs="Times New Roman" w:eastAsia="Times New Roman" w:hAnsi="Times New Roman"/>
          <w:sz w:val="17"/>
          <w:szCs w:val="17"/>
          <w:color w:val="auto"/>
        </w:rPr>
        <w:t>3,562,709</w:t>
      </w:r>
      <w:r>
        <w:rPr>
          <w:sz w:val="20"/>
          <w:szCs w:val="20"/>
          <w:color w:val="auto"/>
        </w:rPr>
        <w:tab/>
      </w:r>
      <w:r>
        <w:rPr>
          <w:rFonts w:ascii="Times New Roman" w:cs="Times New Roman" w:eastAsia="Times New Roman" w:hAnsi="Times New Roman"/>
          <w:sz w:val="17"/>
          <w:szCs w:val="17"/>
          <w:color w:val="auto"/>
        </w:rPr>
        <w:t>487,673</w:t>
      </w:r>
    </w:p>
    <w:p>
      <w:pPr>
        <w:spacing w:after="0" w:line="21" w:lineRule="exact"/>
        <w:rPr>
          <w:sz w:val="20"/>
          <w:szCs w:val="20"/>
          <w:color w:val="auto"/>
        </w:rPr>
      </w:pPr>
    </w:p>
    <w:p>
      <w:pPr>
        <w:ind w:left="220"/>
        <w:spacing w:after="0"/>
        <w:tabs>
          <w:tab w:leader="none" w:pos="2520" w:val="left"/>
        </w:tabs>
        <w:rPr>
          <w:sz w:val="20"/>
          <w:szCs w:val="20"/>
          <w:color w:val="auto"/>
        </w:rPr>
      </w:pPr>
      <w:r>
        <w:rPr>
          <w:rFonts w:ascii="Times New Roman" w:cs="Times New Roman" w:eastAsia="Times New Roman" w:hAnsi="Times New Roman"/>
          <w:sz w:val="15"/>
          <w:szCs w:val="15"/>
          <w:color w:val="auto"/>
        </w:rPr>
        <w:t>422,000</w:t>
      </w:r>
      <w:r>
        <w:rPr>
          <w:sz w:val="20"/>
          <w:szCs w:val="20"/>
          <w:color w:val="auto"/>
        </w:rPr>
        <w:tab/>
      </w:r>
      <w:r>
        <w:rPr>
          <w:rFonts w:ascii="Times New Roman" w:cs="Times New Roman" w:eastAsia="Times New Roman" w:hAnsi="Times New Roman"/>
          <w:sz w:val="27"/>
          <w:szCs w:val="27"/>
          <w:color w:val="auto"/>
          <w:vertAlign w:val="subscript"/>
        </w:rPr>
        <w:t>—</w:t>
      </w:r>
    </w:p>
    <w:p>
      <w:pPr>
        <w:spacing w:after="0" w:line="108"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12,129,632</w:t>
      </w:r>
      <w:r>
        <w:rPr>
          <w:sz w:val="20"/>
          <w:szCs w:val="20"/>
          <w:color w:val="auto"/>
        </w:rPr>
        <w:tab/>
      </w:r>
      <w:r>
        <w:rPr>
          <w:rFonts w:ascii="Times New Roman" w:cs="Times New Roman" w:eastAsia="Times New Roman" w:hAnsi="Times New Roman"/>
          <w:sz w:val="17"/>
          <w:szCs w:val="17"/>
          <w:b w:val="1"/>
          <w:bCs w:val="1"/>
          <w:color w:val="auto"/>
        </w:rPr>
        <w:t>29,619,651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21590</wp:posOffset>
            </wp:positionV>
            <wp:extent cx="231457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2314575" cy="2540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740" w:space="720"/>
            <w:col w:w="3740"/>
          </w:cols>
          <w:pgMar w:left="320" w:top="1440" w:right="37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80" w:name="page181"/>
    <w:bookmarkEnd w:id="18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Options for a Promissory Note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December 2022, the Company’s former chief executive officer (the “Former CEO”), a then-related party, early exercised options for 349,321 shares of common stock in exchange for a partial recourse promissory note receivable with the principal amount of $1.1 million. The note bore interest at 4.27% per annum and was to be due in December 2027. For accounting purposes, the promissory note was determined to be non-recourse and, as such, the issuance of the promissory note and subsequent early exercise of stock options were considered not substantive. While the issued shares were not considered outstanding for accounting purposes, they were legally issued and had voting and dividend rights. The shares were included in common stock on the statement of redeemable convertible preferred stock and stockholders’ deficit as of December 31, 2023, and were not included in the calculation of net loss per share attributable to common stockholders for the year ended December 31, 2023.</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January 12, 2024, the Company and the Former CEO entered into a note forgiveness letter, pursuant to which the promissory note and all accrued interest thereon in an aggregate amount of $1.1 million were forgiven. As the shares subject to the options that were early exercised were vested as of the date of the forgiveness of the note, these are included in the calculation of net loss per share attributable to common stockholders from the date of the note’s forgiveness. The Company concluded that the note forgiveness was effectively a repricing of options and is a modification. Therefore, the incremental stock-based compensation expense was recognized for the vested shares at the modification date (see Note 10).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Incentive Plans</w:t>
      </w:r>
    </w:p>
    <w:p>
      <w:pPr>
        <w:spacing w:after="0" w:line="121"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7"/>
          <w:szCs w:val="17"/>
          <w:color w:val="auto"/>
        </w:rPr>
        <w:t>In January 2024, the Company’s board of directors adopted, and stockholders approved, the Company’s 2024 Equity Incentive Plan (the “2024 Plan”), which became effective on February 6, 2024. The Company initially reserved 4,215,000 shares of common stock for future issuance under the 2024 Plan. In addition, 3,960,713 shares issued and outstanding under the Company’s 2019 Equity Incentive Plan, as amended (the “2019 Plan”), may be added to the 2024 Plan as such shares become available from time to time if awards terminate, expire, or lapse for any reason without the delivery of shares, or are reacquired or withheld (or not issued) to satisfy a tax withholding obligation or the purchase or exercise price. The 2024 Plan also provides that the number of shares reserved and available for issuance will automatically increase each January 1, beginning on January 1, 2025 and ending on January 1, 2034, by an amount equal to the lesser of (i) 5% of the shares of common stock outstanding on the last day of the immediately preceding fiscal year, and</w:t>
      </w:r>
    </w:p>
    <w:p>
      <w:pPr>
        <w:spacing w:after="0" w:line="2" w:lineRule="exact"/>
        <w:rPr>
          <w:sz w:val="20"/>
          <w:szCs w:val="20"/>
          <w:color w:val="auto"/>
        </w:rPr>
      </w:pPr>
    </w:p>
    <w:p>
      <w:pPr>
        <w:ind w:right="280" w:firstLine="8"/>
        <w:spacing w:after="0" w:line="260" w:lineRule="auto"/>
        <w:tabs>
          <w:tab w:leader="none" w:pos="2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smaller number of shares of stock as determined by the Company’s board of directors. No more than 12,645,000 shares of stock may be issued upon the exercise of incentive stock options under the 2024 Plan.</w:t>
      </w:r>
    </w:p>
    <w:p>
      <w:pPr>
        <w:spacing w:after="0" w:line="73"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 Company may grant incentive stock options (“ISOs”), nonstatutory stock options (“NSOs”), restricted stock units (“RSUs”), restricted stock awards (“RSAs”), stock appreciation rights (“SARs”), performance awards and other awards to the Company’s officers, employees, directors and consultants. Options under the 2024 Plan may be granted for periods of up to 10 years at exercise prices no less than the fair market value of the common stock on the date of grant and usually vest over four years. The exercise price of an option granted to a 10% stockholder may not be less than 110% of the fair market value of the shares on the date of grant and such option may not be exercisable after the expiration of five years from the date of grant. The grant date fair market value of all awards made under the 2024 Plan and all cash compensation paid by the Company to any non-employee director for services as a director in any fiscal year may not exceed $750,000, increased to $1,000,000 in the fiscal year of their initial service as a non-employee director. The 2024 Plan is the successor to the 2019 Plan and no additional awards may be granted under the 2019 Plan. All outstanding awards granted under the 2019 Plan will remain subject to the terms of the 2019 Plan. The 2019 Plan provided for the grant of incentive stock options, nonstatutory stock options, RSUs and RSAs to the Company’s officers, employees, directors and consultants.</w:t>
      </w:r>
    </w:p>
    <w:p>
      <w:pPr>
        <w:spacing w:after="0" w:line="86"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ISOs, NSOs and RSUs had been granted under the 2024 Plan. As of December 31, 2024, 2,491,968 shares of the Company’s common stock were available for issuance under the 2024 Plan.</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January 2024, the Company’s board of directors and stockholders adopted the Company’s 2024 Employee Stock Purchase Plan (the “ESPP”), which became effective on February 6, 2024. The Company initially reserved 422,000 shares of common stock for future issuance under the ESPP. The ESPP permits participants to purchase common stock through payroll deductions of up to 15% of their eligible compensation. Employees purchase shares of common stock at a price per share equal to 85% of the lower of the fair market value at the start of the offering or on the date of purchase. The aggregate number of shares reserved for issuance under the ESPP will automatically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increase each January 1, beginning on January 1, 2025 and ending on January 1, 2034, by an amount equal to the lesser of 1% of the Company's total outstanding shares of common stock on the immediately preceding December 31st, and 422,000 shares or a lesser number of shares as may be determined by the Company’s board of directors.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2024, the Company adopted the 2024 Inducement Equity Incentive Plan (the “Inducement Plan”). 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Company reserved 4,000,000 shares of common stock for future issuance under the Inducement Plan. As of December 31, 2024, 2,929,259 shares were granted and 1,070,741 shares were available for future grant under the Inducement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Stock options issued under the 2019 Plan, 2024 Plan and the Inducement Plan generally vest over a four-year period and expire ten years from the date of grant. Certain options provide for accelerated vesting if there is a change in control, as defined in the individual award agreements and the Company’s severance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option activity under the 2019 Plan, 2024 Plan and the Inducement Plan is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4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2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2023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4,310,034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4,419,225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Options exercised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(467,871 )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 cancelled and forfeited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(660,665 )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Options expired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(4,801 )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at December 31, 2024 *</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7,595,922</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3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December 31, 2024 **</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1,437,877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Vested and expected to vest at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7,595,922</w:t>
            </w:r>
          </w:p>
        </w:tc>
        <w:tc>
          <w:tcPr>
            <w:tcW w:w="2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140"/>
              <w:spacing w:after="0" w:line="176" w:lineRule="exact"/>
              <w:rPr>
                <w:sz w:val="20"/>
                <w:szCs w:val="20"/>
                <w:color w:val="auto"/>
              </w:rPr>
            </w:pPr>
            <w:r>
              <w:rPr>
                <w:rFonts w:ascii="Times New Roman" w:cs="Times New Roman" w:eastAsia="Times New Roman" w:hAnsi="Times New Roman"/>
                <w:sz w:val="16"/>
                <w:szCs w:val="16"/>
                <w:color w:val="auto"/>
              </w:rPr>
              <w:t>December 31, 2024</w:t>
            </w:r>
          </w:p>
        </w:tc>
        <w:tc>
          <w:tcPr>
            <w:tcW w:w="1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-573405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-573405</wp:posOffset>
            </wp:positionV>
            <wp:extent cx="596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-281940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-264795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-281940</wp:posOffset>
            </wp:positionV>
            <wp:extent cx="596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-264795</wp:posOffset>
            </wp:positionV>
            <wp:extent cx="596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-281940</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-264795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-264795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0" w:firstLine="8"/>
        <w:spacing w:after="0" w:line="266" w:lineRule="auto"/>
        <w:tabs>
          <w:tab w:leader="none" w:pos="1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number of options as of December 31, 2023 excludes 349,321 shares of common stock issued in connection with the early exercised options for a non-recourse promissory note, which were not considered substantive for accounting purposes. These shares are included in the number of options exercised during the year ended December 31, 2024, upon the note forgiveness in January 2024 (see Note 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303,472 shares of unvested stock options for which the holders have the right to early exercise such options as of December 31, 2024.</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fair value of the underlying common stock and the exercise price. The weighted-average grant date fair value of options granted for the years ended December 31, 2024 and 2023, was $5.89 and $4.39, respectively. The total fair value of options that vested during the years ended December 31, 2024 and 2023 was $2.5 million and $1.9 million, respectively. As of December 31, 2024, total unrecognized stock-based compensation expense was $26.7 million, which is expected to be recognized over a weighted-average period of 3.2 years. The intrinsic value of options exercised during the year ended December 31, 2024 and 2023 was $3.8 million and $1.0 million, respectively, and is calculated based on the difference between the exercise price and the fair value of common stock as of the exercise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granted RSUs for 539,143 shares with a weighted-average price per share of $7.02. RSU shares vest over a four-year period. The fair value of the RSUs equals the fair value of the Company's common stock as of the grant date. The estimated fair value of RSUs granted was $3.8 million. As of December 31, 2024, total unrecognized compensation expense for RSUs was $3.6 million, which is expected to be recognized over weighted-average period of 3.4 years.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granted performance RSUs for 100,000 shares with a weighted-average price per share of $8.05. Performance RSU shares vest in full upon the Company receiving certain regulatory approvals within 36 months from the grant date. The fair value of the performance RSUs equals the fair value of the Company's common stock as of the grant date. The estimated fair value of performance RSUs granted was $0.8 million. As of December 31, 2024, total unrecognized compensation expense for performance RSUs was $0.8 million. Compensation expense of $0.8 million for performance RSUs is expected to be recognized when it is probable that the performance criteria will be achieved over the remaining vesting term. As of December 31, 2024, the performance criteria was not probable and no expense was recognized.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60" w:type="dxa"/>
            <w:vAlign w:val="bottom"/>
          </w:tcPr>
          <w:p>
            <w:pPr>
              <w:spacing w:after="0"/>
              <w:rPr>
                <w:sz w:val="12"/>
                <w:szCs w:val="12"/>
                <w:color w:val="auto"/>
              </w:rPr>
            </w:pPr>
          </w:p>
        </w:tc>
        <w:tc>
          <w:tcPr>
            <w:tcW w:w="128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040" w:type="dxa"/>
            <w:vAlign w:val="bottom"/>
            <w:gridSpan w:val="3"/>
            <w:vMerge w:val="continue"/>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Rate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60" w:type="dxa"/>
            <w:vAlign w:val="bottom"/>
            <w:gridSpan w:val="2"/>
            <w:vMerge w:val="continue"/>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 RSUs</w:t>
            </w:r>
          </w:p>
        </w:tc>
        <w:tc>
          <w:tcPr>
            <w:tcW w:w="140" w:type="dxa"/>
            <w:vAlign w:val="bottom"/>
            <w:shd w:val="clear" w:color="auto" w:fill="CFF0FC"/>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539,143</w:t>
            </w:r>
          </w:p>
        </w:tc>
        <w:tc>
          <w:tcPr>
            <w:tcW w:w="120" w:type="dxa"/>
            <w:vAlign w:val="bottom"/>
            <w:shd w:val="clear" w:color="auto" w:fill="CCEE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 Performance RSUs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 RSUs</w:t>
            </w:r>
          </w:p>
        </w:tc>
        <w:tc>
          <w:tcPr>
            <w:tcW w:w="14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(90,142 )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549,001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Options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Certain employees received stock options prior to the IPO that allow for exercise of the stock option prior to vesting. The shares of common stock issued upon an early exercise that have not yet vested are subject to repurchase by the Company in the event of termination of the holder’s continuous status as a service provider, at the price paid by the holder.</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Proceeds from the early exercise of stock options were recorded as repurchase liability, and as shares vest, they are recognized as additional paid-in capital in the balance sheets. Shares purchased by employees pursuant to the early exercise of stock options are not deemed, for accounting purposes, to be issued until those shares vest according to their respective vesting schedules, and the Company recognizes stock-based compensation expense related to these options as they continue to vest. As of December 31, 2024 and 2023, there was zero and $0.1 million repurchase liability related to the unvested shares, respectively. As of December 31, 2024 and 2023, zero and 8,125 common stock shares, respectively, remained subject to the right of repurchase as a result of the early exercise of stock options and are included in common stock outstanding. Early exercises as of December 31, 2023 exclude 349,321 shares of common stock issued in connection with the early exercised options for a non-recourse promissory note, which were not considered substantive for accounting purposes (see Note 9).</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Black-Scholes option pricing model, used to estimate fair value of the option awards, requires the use of the following assumptions:</w:t>
      </w:r>
    </w:p>
    <w:p>
      <w:pPr>
        <w:spacing w:after="0" w:line="115" w:lineRule="exact"/>
        <w:rPr>
          <w:sz w:val="20"/>
          <w:szCs w:val="20"/>
          <w:color w:val="auto"/>
        </w:rPr>
      </w:pPr>
    </w:p>
    <w:p>
      <w:pPr>
        <w:ind w:left="1020" w:right="120" w:hanging="503"/>
        <w:spacing w:after="0" w:line="261"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Prior to the IPO, the fair market value of common stock was determined by the Board of Directors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assistance from management and external valuation experts. The approach to estimating the fair market value of common stock was consistent with the methods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Privately-Held-Company Equity Securities Issued as Compensation </w:t>
      </w:r>
      <w:r>
        <w:rPr>
          <w:rFonts w:ascii="Times New Roman" w:cs="Times New Roman" w:eastAsia="Times New Roman" w:hAnsi="Times New Roman"/>
          <w:sz w:val="18"/>
          <w:szCs w:val="18"/>
          <w:color w:val="auto"/>
        </w:rPr>
        <w:t>(the “Practice Aid”). Subsequent 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IPO, the fair value of common stock is the Company’s closing price per share on the Nasdaq Global Select Market at the grant date.</w:t>
      </w:r>
    </w:p>
    <w:p>
      <w:pPr>
        <w:spacing w:after="0" w:line="115" w:lineRule="exact"/>
        <w:rPr>
          <w:sz w:val="20"/>
          <w:szCs w:val="20"/>
          <w:color w:val="auto"/>
        </w:rPr>
      </w:pPr>
    </w:p>
    <w:p>
      <w:pPr>
        <w:ind w:left="1020" w:hanging="503"/>
        <w:spacing w:after="0" w:line="267"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options granted represents the period of time that the options are expected to be outstanding.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lack of historical exercise history, the expected term of the Company’s stock options has been determined by calculating the midpoint of the contractual term of the options and the weighted-average vesting period.</w:t>
      </w:r>
    </w:p>
    <w:p>
      <w:pPr>
        <w:spacing w:after="0" w:line="65"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assumption was determined by examining the historical volatilities for industry peers,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Company did not have any trading history for the common stock. The Company will continue to analyze the historical stock price volatility and expected term assumption as more historical data for the common stock becomes available.</w:t>
      </w:r>
    </w:p>
    <w:p>
      <w:pPr>
        <w:spacing w:after="0" w:line="65" w:lineRule="exact"/>
        <w:rPr>
          <w:rFonts w:ascii="Times New Roman" w:cs="Times New Roman" w:eastAsia="Times New Roman" w:hAnsi="Times New Roman"/>
          <w:sz w:val="18"/>
          <w:szCs w:val="18"/>
          <w:color w:val="auto"/>
        </w:rPr>
      </w:pPr>
    </w:p>
    <w:p>
      <w:pPr>
        <w:ind w:left="1020" w:right="160" w:hanging="503"/>
        <w:spacing w:after="0" w:line="284"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assumption is based on the U.S. Treasury instrument whose term was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Company’s stock options.</w:t>
      </w:r>
    </w:p>
    <w:p>
      <w:pPr>
        <w:spacing w:after="0" w:line="50"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has not paid any cash dividends on common stock since inception and does not anticipate paying any dividends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foreseeable future. Consequently, an expected dividend yield of zero was used.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options granted was estimated using the Black-Scholes valuation model using the following assumptions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respectively:</w:t>
      </w:r>
    </w:p>
    <w:p>
      <w:pPr>
        <w:spacing w:after="0" w:line="200" w:lineRule="exact"/>
        <w:rPr>
          <w:sz w:val="20"/>
          <w:szCs w:val="20"/>
          <w:color w:val="auto"/>
        </w:rPr>
      </w:pPr>
    </w:p>
    <w:tbl>
      <w:tblPr>
        <w:tblLayout w:type="fixed"/>
        <w:tblInd w:w="120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0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80" w:type="dxa"/>
            <w:vAlign w:val="bottom"/>
            <w:shd w:val="clear" w:color="auto" w:fill="CFF0FC"/>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5"/>
              </w:rPr>
              <w:t>— %</w:t>
            </w:r>
          </w:p>
        </w:tc>
      </w:tr>
      <w:tr>
        <w:trPr>
          <w:trHeight w:val="216"/>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80" w:type="dxa"/>
            <w:vAlign w:val="bottom"/>
            <w:shd w:val="clear" w:color="auto" w:fill="CFF0FC"/>
          </w:tcPr>
          <w:p>
            <w:pPr>
              <w:spacing w:after="0"/>
              <w:rPr>
                <w:sz w:val="18"/>
                <w:szCs w:val="18"/>
                <w:color w:val="auto"/>
              </w:rPr>
            </w:pPr>
          </w:p>
        </w:tc>
      </w:tr>
      <w:tr>
        <w:trPr>
          <w:trHeight w:val="234"/>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presents the classification of stock-based compensation expense related to stock options and RSUs granted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2,455</w:t>
            </w:r>
          </w:p>
        </w:tc>
        <w:tc>
          <w:tcPr>
            <w:tcW w:w="90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5,902</w:t>
            </w:r>
          </w:p>
        </w:tc>
        <w:tc>
          <w:tcPr>
            <w:tcW w:w="2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1,428</w:t>
            </w:r>
          </w:p>
        </w:tc>
        <w:tc>
          <w:tcPr>
            <w:tcW w:w="80" w:type="dxa"/>
            <w:vAlign w:val="bottom"/>
          </w:tcPr>
          <w:p>
            <w:pPr>
              <w:spacing w:after="0"/>
              <w:rPr>
                <w:sz w:val="18"/>
                <w:szCs w:val="18"/>
                <w:color w:val="auto"/>
              </w:rPr>
            </w:pPr>
          </w:p>
        </w:tc>
      </w:tr>
      <w:tr>
        <w:trPr>
          <w:trHeight w:val="250"/>
        </w:trPr>
        <w:tc>
          <w:tcPr>
            <w:tcW w:w="6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8,357</w:t>
            </w: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2,220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51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above stock-based compensation expense was related to the following stock-based awards (in thousands):</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4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94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8,044</w:t>
            </w: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2,220</w:t>
            </w:r>
          </w:p>
        </w:tc>
        <w:tc>
          <w:tcPr>
            <w:tcW w:w="80" w:type="dxa"/>
            <w:vAlign w:val="bottom"/>
          </w:tcPr>
          <w:p>
            <w:pPr>
              <w:spacing w:after="0"/>
              <w:rPr>
                <w:sz w:val="18"/>
                <w:szCs w:val="18"/>
                <w:color w:val="auto"/>
              </w:rPr>
            </w:pPr>
          </w:p>
        </w:tc>
      </w:tr>
      <w:tr>
        <w:trPr>
          <w:trHeight w:val="250"/>
        </w:trPr>
        <w:tc>
          <w:tcPr>
            <w:tcW w:w="6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8,357</w:t>
            </w:r>
          </w:p>
        </w:tc>
        <w:tc>
          <w:tcPr>
            <w:tcW w:w="1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2,220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2024, in connection with the Former CEO note forgiveness (see Note 9), the Company recognized stock-based compensation expense of $1.1 million in general and administrative expenses in the statement of operations and comprehensive loss for the year ended December 31, 2024. In addition, during 2024, in connection with the entry into a separation agreement with the Former CEO, the Company recognized stock-based compensation expense of $1.7 million related to modification of certain vesting terms in the Former CEO's stock-based awards, which was recorded in general and administrative expenses in the statement of operations and comprehensive loss for the year ended December 31, 2024.</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155"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(127,477 )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(60,366 )</w:t>
            </w:r>
          </w:p>
        </w:tc>
      </w:tr>
      <w:tr>
        <w:trPr>
          <w:trHeight w:val="21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shares used in computing basic and diluted net loss per share</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38,334,571</w:t>
            </w: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673,622</w:t>
            </w:r>
          </w:p>
        </w:tc>
        <w:tc>
          <w:tcPr>
            <w:tcW w:w="100" w:type="dxa"/>
            <w:vAlign w:val="bottom"/>
          </w:tcPr>
          <w:p>
            <w:pPr>
              <w:spacing w:after="0"/>
              <w:rPr>
                <w:sz w:val="18"/>
                <w:szCs w:val="18"/>
                <w:color w:val="auto"/>
              </w:rPr>
            </w:pPr>
          </w:p>
        </w:tc>
      </w:tr>
      <w:tr>
        <w:trPr>
          <w:trHeight w:val="229"/>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(3.33 )</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(89.61 )</w:t>
            </w: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-25400</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236"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1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6760" w:type="dxa"/>
            <w:vAlign w:val="bottom"/>
          </w:tcPr>
          <w:p>
            <w:pPr>
              <w:spacing w:after="0"/>
              <w:rPr>
                <w:sz w:val="17"/>
                <w:szCs w:val="17"/>
                <w:color w:val="auto"/>
              </w:rPr>
            </w:pPr>
          </w:p>
        </w:tc>
        <w:tc>
          <w:tcPr>
            <w:tcW w:w="14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r>
      <w:tr>
        <w:trPr>
          <w:trHeight w:val="20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as converted</w:t>
            </w:r>
          </w:p>
        </w:tc>
        <w:tc>
          <w:tcPr>
            <w:tcW w:w="214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25,171,265</w:t>
            </w:r>
          </w:p>
        </w:tc>
        <w:tc>
          <w:tcPr>
            <w:tcW w:w="80" w:type="dxa"/>
            <w:vAlign w:val="bottom"/>
            <w:shd w:val="clear" w:color="auto" w:fill="CFF0FC"/>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7,595,922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3,960,713</w:t>
            </w:r>
          </w:p>
        </w:tc>
        <w:tc>
          <w:tcPr>
            <w:tcW w:w="80" w:type="dxa"/>
            <w:vAlign w:val="bottom"/>
          </w:tcPr>
          <w:p>
            <w:pPr>
              <w:spacing w:after="0"/>
              <w:rPr>
                <w:sz w:val="18"/>
                <w:szCs w:val="18"/>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214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80" w:type="dxa"/>
            <w:vAlign w:val="bottom"/>
            <w:shd w:val="clear" w:color="auto" w:fill="CFF0FC"/>
          </w:tcPr>
          <w:p>
            <w:pPr>
              <w:spacing w:after="0"/>
              <w:rPr>
                <w:sz w:val="18"/>
                <w:szCs w:val="18"/>
                <w:color w:val="auto"/>
              </w:rPr>
            </w:pPr>
          </w:p>
        </w:tc>
      </w:tr>
      <w:tr>
        <w:trPr>
          <w:trHeight w:val="198"/>
        </w:trPr>
        <w:tc>
          <w:tcPr>
            <w:tcW w:w="6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Unvested early exercised common stock options exercised for non-recourse promissory</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(Note 9)</w:t>
            </w:r>
          </w:p>
        </w:tc>
        <w:tc>
          <w:tcPr>
            <w:tcW w:w="21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349,321</w:t>
            </w:r>
          </w:p>
        </w:tc>
        <w:tc>
          <w:tcPr>
            <w:tcW w:w="80" w:type="dxa"/>
            <w:vAlign w:val="bottom"/>
          </w:tcPr>
          <w:p>
            <w:pPr>
              <w:spacing w:after="0"/>
              <w:rPr>
                <w:sz w:val="20"/>
                <w:szCs w:val="20"/>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outstanding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549,001</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60" w:type="dxa"/>
            <w:vAlign w:val="bottom"/>
            <w:tcBorders>
              <w:top w:val="single" w:sz="8" w:color="CFF0FC"/>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8,144,923</w:t>
            </w:r>
          </w:p>
        </w:tc>
        <w:tc>
          <w:tcPr>
            <w:tcW w:w="20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29,489,424</w:t>
            </w:r>
          </w:p>
        </w:tc>
        <w:tc>
          <w:tcPr>
            <w:tcW w:w="80" w:type="dxa"/>
            <w:vAlign w:val="bottom"/>
            <w:tcBorders>
              <w:top w:val="single" w:sz="8" w:color="CFF0FC"/>
            </w:tcBorders>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recorded no income tax expense for the years ended December 31, 2024 and 2023. All the Company’s taxable losses were generated in the U.S.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was as follows: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Income tax computed at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46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State taxes</w:t>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Other 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46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Research credits</w:t>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46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State uncertain tax positions</w:t>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46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15944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ind w:left="400"/>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8"/>
        </w:trPr>
        <w:tc>
          <w:tcPr>
            <w:tcW w:w="14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21.00 %</w:t>
            </w:r>
          </w:p>
        </w:tc>
        <w:tc>
          <w:tcPr>
            <w:tcW w:w="132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21.00 %</w:t>
            </w:r>
          </w:p>
        </w:tc>
      </w:tr>
      <w:tr>
        <w:trPr>
          <w:trHeight w:val="230"/>
        </w:trPr>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7.4 %</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r>
      <w:tr>
        <w:trPr>
          <w:trHeight w:val="230"/>
        </w:trPr>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0"/>
        </w:trPr>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34"/>
        </w:trPr>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ectPr>
          <w:pgSz w:w="11900" w:h="16838" w:orient="portrait"/>
          <w:cols w:equalWidth="0" w:num="2">
            <w:col w:w="6080" w:space="720"/>
            <w:col w:w="4420"/>
          </w:cols>
          <w:pgMar w:left="320" w:top="1440" w:right="3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85" w:name="page186"/>
    <w:bookmarkEnd w:id="185"/>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for federal and state income taxes are as follows (in thousands):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4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and accruals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license</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License and upfront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00" w:type="dxa"/>
            <w:vAlign w:val="bottom"/>
          </w:tcPr>
          <w:p>
            <w:pPr>
              <w:spacing w:after="0"/>
              <w:rPr>
                <w:sz w:val="18"/>
                <w:szCs w:val="18"/>
                <w:color w:val="auto"/>
              </w:rPr>
            </w:pPr>
          </w:p>
        </w:tc>
      </w:tr>
      <w:tr>
        <w:trPr>
          <w:trHeight w:val="209"/>
        </w:trPr>
        <w:tc>
          <w:tcPr>
            <w:tcW w:w="5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(65,593 )</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(31,772 )</w:t>
            </w:r>
          </w:p>
        </w:tc>
      </w:tr>
      <w:tr>
        <w:trPr>
          <w:trHeight w:val="210"/>
        </w:trPr>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Borders>
              <w:top w:val="single" w:sz="8" w:color="CFF0FC"/>
            </w:tcBorders>
          </w:tcPr>
          <w:p>
            <w:pPr>
              <w:spacing w:after="0"/>
              <w:rPr>
                <w:sz w:val="18"/>
                <w:szCs w:val="18"/>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(147 )</w:t>
            </w:r>
          </w:p>
        </w:tc>
      </w:tr>
      <w:tr>
        <w:trPr>
          <w:trHeight w:val="216"/>
        </w:trPr>
        <w:tc>
          <w:tcPr>
            <w:tcW w:w="5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Lease right-of-use assets</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(1,875 )</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(1,885 )</w:t>
            </w:r>
          </w:p>
        </w:tc>
      </w:tr>
      <w:tr>
        <w:trPr>
          <w:trHeight w:val="20"/>
        </w:trPr>
        <w:tc>
          <w:tcPr>
            <w:tcW w:w="5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(1,875 )</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(2,032 )</w:t>
            </w:r>
          </w:p>
        </w:tc>
      </w:tr>
      <w:tr>
        <w:trPr>
          <w:trHeight w:val="249"/>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-1174115</wp:posOffset>
            </wp:positionV>
            <wp:extent cx="603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-1174115</wp:posOffset>
            </wp:positionV>
            <wp:extent cx="603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-882650</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-882650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-316865</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03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valuation allowance is required to be established when it is more likely than not that all or a portion of a deferred tax asset will not be realized. Realization of deferred tax assets is dependent upon future earnings, the timing and amount of which are uncertain. The Company has reviewed its positive and negative evidence and has concluded that it is more likely than not that the net deferred tax assets will not be realized due to the cumulative losses incurred since inception; therefore, the Company continues to maintain a valuation allowance. The valuation allowance increased by $33.8 million and $12.9 million during the years ended December 31, 2024 and 2023, respectively.</w:t>
      </w:r>
    </w:p>
    <w:p>
      <w:pPr>
        <w:spacing w:after="0" w:line="18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has net operating loss carryforwards for federal and state income tax purposes of $79.2 million and $205.2 million, respectively, as of December 31, 2024. The federal net operating loss carryforwards are not subject to expiration but are limited to 80% of the taxable income in the year the carryforward is used. State net operating loss carryforwards, if not utilized, will expire in various amounts 2036 through 2044.</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federal and state research and development credit carryforwards of approximately $9.4 million and $3.1 million, respectively. The federal credits will expire in various amounts 2041 through 2044 and the state credits can be carried forward indefinitely.</w:t>
      </w:r>
    </w:p>
    <w:p>
      <w:pPr>
        <w:spacing w:after="0" w:line="162" w:lineRule="exact"/>
        <w:rPr>
          <w:sz w:val="20"/>
          <w:szCs w:val="20"/>
          <w:color w:val="auto"/>
        </w:rPr>
      </w:pPr>
    </w:p>
    <w:p>
      <w:pPr>
        <w:ind w:right="120" w:firstLine="509"/>
        <w:spacing w:after="0" w:line="277" w:lineRule="auto"/>
        <w:rPr>
          <w:sz w:val="20"/>
          <w:szCs w:val="20"/>
          <w:color w:val="auto"/>
        </w:rPr>
      </w:pPr>
      <w:r>
        <w:rPr>
          <w:rFonts w:ascii="Times New Roman" w:cs="Times New Roman" w:eastAsia="Times New Roman" w:hAnsi="Times New Roman"/>
          <w:sz w:val="17"/>
          <w:szCs w:val="17"/>
          <w:color w:val="auto"/>
        </w:rPr>
        <w:t>Under Section 382 of the Internal Revenue Code of 1986, as amended, the ability to utilize net operating loss carryforwards or other tax attributes, such as research tax credits, in any taxable year may be limited if the Company has experienced an “ownership change”. The annual limitation may result in the expiration of net operating losses and credits before utilization. The Company has performed a Section 382 study as of December 31, 2023, and expects approximately $2.0 million of federal net operating losses and $1.9 million of California net operating losses to expire unused due to Section 382 limitations. As of December 31, 2024, the Section 382 study was updated and the Company concluded that there were no ownership changes during 2024.</w:t>
      </w:r>
    </w:p>
    <w:p>
      <w:pPr>
        <w:spacing w:after="0" w:line="1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Tax Cuts and Jobs Act of 2017 contains a provision that requires the capitalization of Section 174 costs incurred in years beginning on or after January 1, 2022. Section 174 costs are expenditures that represent research and development costs that are incidental to the development or improvement of a product, process, formula, invention, computer software or technique. This provision changes the treatment of Section 174 costs such that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expenditures are no longer allowed as an immediate deduction but rather must be capitalized and amortized over five years for domestic research and development and fifteen years for foreign research and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the unrecognized tax benefits during the year ended December 31, 2024 and 2023,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101600</wp:posOffset>
            </wp:positionV>
            <wp:extent cx="76835" cy="1365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101600</wp:posOffset>
            </wp:positionV>
            <wp:extent cx="76835" cy="1365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76835" cy="136525"/>
                    </a:xfrm>
                    <a:prstGeom prst="rect">
                      <a:avLst/>
                    </a:prstGeom>
                    <a:noFill/>
                  </pic:spPr>
                </pic:pic>
              </a:graphicData>
            </a:graphic>
          </wp:anchor>
        </w:drawing>
      </w:r>
    </w:p>
    <w:p>
      <w:pPr>
        <w:spacing w:after="0" w:line="14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tax positions in prior periods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tax positions in the current period</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entire amount of the unrecognized tax benefits would not impact the Company’s effective tax rate if recognized, due to the valuation allowance. The Company has elected to include interest and penalties as a component of tax expense. During the years ended December 31, 2024 and 2023, the Company did not recognize accrued interest and penalties related to unrecognized tax benefits.</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tax returns in the U.S., California and other various states. The Company is not currently under examination in any of these jurisdictions and all its tax years remain effectively open to examination due to net operating loss carryforwards.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and 2023, the Company recorded zero and less than $0.1 million, respectively, to deferred offering costs related to an advisory services agreement with one of its board members.</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January 12, 2024, the Company and the Former CEO entered into a note forgiveness letter, pursuant to which the promissory note and all accrued interest thereon in an aggregate amount of $1.1 million were forgiven. The promissory note was issued by the Former CEO in December 2022 in connection with early exercised options (see Note 9).</w:t>
      </w:r>
    </w:p>
    <w:p>
      <w:pPr>
        <w:spacing w:after="0" w:line="17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September 2024, the Company’s Former CEO resigned and entered into a consulting agreement for six months that can be extended by both parties for an additional 12 months. The Former CEO is eligible to receive $0.6 million as severance benefits, monthly consulting fees and health benefits for up to 12 months. The Former CEO's outstanding option awards will continue vesting as per the original terms until June 2025, if the consulting agreement continues until then. The Company concluded that the Former CEO does not provide substantive services for accounting purposes after his resignation. In connection with the Former CEO’s resignation, the Company recognized $2.6 million as general and administrative expenses as related to severance benefits and stock awards modification for the year ended December 31, 2024. The Company recognized $1.7 million to additional paid in capital related to stock awards modification expense. As of December 31, 2024, the Company recognized $0.4 million in other accrued expenses and current liabilities related to severance payments.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developing therapies for autoimmune and inflammatory diseases. The chief executive officer, who is the chief operating decision maker (“CODM”), reviews financial information on an aggregate basis for purposes of allocating resources, assessing performance and monitoring budget versus actuals. The CODM assesses performance based on net loss as reported on the statement of operations and comprehensive loss. The measure of segment assets is reported on the balance sheet as total assets. Further, segment depreciation expense and segment asset additions are consistent with amounts reported within the statement of cash flows given the Company's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8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operations are aggregated within a single reportable segment. All of the Company’s long-lived assets are located in the United States. Asset and other balance sheet information is not reported to the CODM.</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summary of segment loss, including significant segment expenses for the years ended December 31, 2024 and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58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4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KYV-101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61,884</w:t>
            </w:r>
          </w:p>
        </w:tc>
        <w:tc>
          <w:tcPr>
            <w:tcW w:w="3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programs</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research and development expenses</w:t>
            </w:r>
            <w:r>
              <w:rPr>
                <w:rFonts w:ascii="Times New Roman" w:cs="Times New Roman" w:eastAsia="Times New Roman" w:hAnsi="Times New Roman"/>
                <w:sz w:val="24"/>
                <w:szCs w:val="24"/>
                <w:color w:val="auto"/>
                <w:vertAlign w:val="superscript"/>
              </w:rPr>
              <w:t>(a)</w:t>
            </w:r>
          </w:p>
        </w:tc>
        <w:tc>
          <w:tcPr>
            <w:tcW w:w="6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46,642</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tcPr>
          <w:p>
            <w:pPr>
              <w:spacing w:after="0"/>
              <w:rPr>
                <w:sz w:val="18"/>
                <w:szCs w:val="18"/>
                <w:color w:val="auto"/>
              </w:rPr>
            </w:pPr>
          </w:p>
        </w:tc>
      </w:tr>
      <w:tr>
        <w:trPr>
          <w:trHeight w:val="210"/>
        </w:trPr>
        <w:tc>
          <w:tcPr>
            <w:tcW w:w="7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112,473</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tcBorders>
              <w:bottom w:val="single" w:sz="8" w:color="CCEEFF"/>
            </w:tcBorders>
            <w:shd w:val="clear" w:color="auto" w:fill="CCEEFF"/>
          </w:tcPr>
          <w:p>
            <w:pPr>
              <w:ind w:left="200"/>
              <w:spacing w:after="0" w:line="216"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4"/>
                <w:szCs w:val="24"/>
                <w:color w:val="auto"/>
                <w:vertAlign w:val="superscript"/>
              </w:rPr>
              <w:t>(b)</w:t>
            </w:r>
          </w:p>
        </w:tc>
        <w:tc>
          <w:tcPr>
            <w:tcW w:w="6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3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6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00" w:type="dxa"/>
            <w:vAlign w:val="bottom"/>
          </w:tcPr>
          <w:p>
            <w:pPr>
              <w:spacing w:after="0"/>
              <w:rPr>
                <w:sz w:val="18"/>
                <w:szCs w:val="18"/>
                <w:color w:val="auto"/>
              </w:rPr>
            </w:pPr>
          </w:p>
        </w:tc>
      </w:tr>
      <w:tr>
        <w:trPr>
          <w:trHeight w:val="210"/>
        </w:trPr>
        <w:tc>
          <w:tcPr>
            <w:tcW w:w="7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142,604</w:t>
            </w:r>
          </w:p>
        </w:tc>
        <w:tc>
          <w:tcPr>
            <w:tcW w:w="3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(142,604 )</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(62,406 )</w:t>
            </w:r>
          </w:p>
        </w:tc>
      </w:tr>
      <w:tr>
        <w:trPr>
          <w:trHeight w:val="216"/>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(142 )</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(187 )</w:t>
            </w:r>
          </w:p>
        </w:tc>
      </w:tr>
      <w:tr>
        <w:trPr>
          <w:trHeight w:val="216"/>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(90 )</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09"/>
        </w:trPr>
        <w:tc>
          <w:tcPr>
            <w:tcW w:w="704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income, net</w:t>
            </w:r>
          </w:p>
        </w:tc>
        <w:tc>
          <w:tcPr>
            <w:tcW w:w="66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Borders>
              <w:top w:val="single" w:sz="8" w:color="CCEEFF"/>
            </w:tcBorders>
          </w:tcPr>
          <w:p>
            <w:pPr>
              <w:spacing w:after="0"/>
              <w:rPr>
                <w:sz w:val="18"/>
                <w:szCs w:val="18"/>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(127,477 )</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(60,366 )</w:t>
            </w:r>
          </w:p>
        </w:tc>
      </w:tr>
      <w:tr>
        <w:trPr>
          <w:trHeight w:val="20"/>
        </w:trPr>
        <w:tc>
          <w:tcPr>
            <w:tcW w:w="70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-1165225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-873760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-316230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4" w:lineRule="exact"/>
        <w:rPr>
          <w:sz w:val="20"/>
          <w:szCs w:val="20"/>
          <w:color w:val="auto"/>
        </w:rPr>
      </w:pPr>
    </w:p>
    <w:p>
      <w:pPr>
        <w:ind w:left="180" w:hanging="172"/>
        <w:spacing w:after="0"/>
        <w:tabs>
          <w:tab w:leader="none" w:pos="180" w:val="left"/>
        </w:tabs>
        <w:numPr>
          <w:ilvl w:val="0"/>
          <w:numId w:val="73"/>
        </w:numPr>
        <w:rPr>
          <w:rFonts w:ascii="Calibri" w:cs="Calibri" w:eastAsia="Calibri" w:hAnsi="Calibri"/>
          <w:sz w:val="23"/>
          <w:szCs w:val="23"/>
          <w:color w:val="auto"/>
          <w:vertAlign w:val="superscript"/>
        </w:rPr>
      </w:pPr>
      <w:r>
        <w:rPr>
          <w:rFonts w:ascii="Times New Roman" w:cs="Times New Roman" w:eastAsia="Times New Roman" w:hAnsi="Times New Roman"/>
          <w:sz w:val="15"/>
          <w:szCs w:val="15"/>
          <w:color w:val="auto"/>
        </w:rPr>
        <w:t>Primarily includes personnel costs, license fees, R&amp;D consulting services, unallocated CRO and CMO costs and allocated overhead and facilities expenses</w:t>
      </w:r>
    </w:p>
    <w:p>
      <w:pPr>
        <w:spacing w:after="0" w:line="37" w:lineRule="exact"/>
        <w:rPr>
          <w:rFonts w:ascii="Calibri" w:cs="Calibri" w:eastAsia="Calibri" w:hAnsi="Calibri"/>
          <w:sz w:val="23"/>
          <w:szCs w:val="23"/>
          <w:color w:val="auto"/>
          <w:vertAlign w:val="superscript"/>
        </w:rPr>
      </w:pPr>
    </w:p>
    <w:p>
      <w:pPr>
        <w:ind w:left="180" w:hanging="172"/>
        <w:spacing w:after="0" w:line="180" w:lineRule="auto"/>
        <w:tabs>
          <w:tab w:leader="none" w:pos="180" w:val="left"/>
        </w:tabs>
        <w:numPr>
          <w:ilvl w:val="0"/>
          <w:numId w:val="73"/>
        </w:numPr>
        <w:rPr>
          <w:rFonts w:ascii="Calibri" w:cs="Calibri" w:eastAsia="Calibri" w:hAnsi="Calibri"/>
          <w:sz w:val="21"/>
          <w:szCs w:val="21"/>
          <w:color w:val="auto"/>
          <w:vertAlign w:val="superscript"/>
        </w:rPr>
      </w:pPr>
      <w:r>
        <w:rPr>
          <w:rFonts w:ascii="Times New Roman" w:cs="Times New Roman" w:eastAsia="Times New Roman" w:hAnsi="Times New Roman"/>
          <w:sz w:val="14"/>
          <w:szCs w:val="14"/>
          <w:color w:val="auto"/>
        </w:rPr>
        <w:t>Primarily includes personnel costs, allocated overhead and facilities expenses, legal, IT, accounting and general and administrative expenses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ind w:left="10260"/>
        <w:spacing w:after="0"/>
        <w:rPr>
          <w:sz w:val="20"/>
          <w:szCs w:val="20"/>
          <w:color w:val="auto"/>
        </w:rPr>
      </w:pPr>
      <w:r>
        <w:rPr>
          <w:rFonts w:ascii="Calibri" w:cs="Calibri" w:eastAsia="Calibri" w:hAnsi="Calibri"/>
          <w:sz w:val="20"/>
          <w:szCs w:val="20"/>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1859915" cy="5918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18599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color w:val="auto"/>
        </w:rPr>
        <w:t>December 30, 2024</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Naji Gehchan</w:t>
      </w:r>
    </w:p>
    <w:p>
      <w:pPr>
        <w:spacing w:after="0" w:line="238" w:lineRule="auto"/>
        <w:rPr>
          <w:sz w:val="20"/>
          <w:szCs w:val="20"/>
          <w:color w:val="auto"/>
        </w:rPr>
      </w:pPr>
      <w:r>
        <w:rPr>
          <w:rFonts w:ascii="Calibri" w:cs="Calibri" w:eastAsia="Calibri" w:hAnsi="Calibri"/>
          <w:sz w:val="20"/>
          <w:szCs w:val="20"/>
          <w:color w:val="auto"/>
        </w:rPr>
        <w:t>via email</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 Employment Terms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Dear Naji:</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Kyverna Therapeutcs, Inc.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is pleased to ofer you employment beginning on January 22, 2025 (the “</w:t>
      </w:r>
      <w:r>
        <w:rPr>
          <w:rFonts w:ascii="Calibri" w:cs="Calibri" w:eastAsia="Calibri" w:hAnsi="Calibri"/>
          <w:sz w:val="20"/>
          <w:szCs w:val="20"/>
          <w:b w:val="1"/>
          <w:bCs w:val="1"/>
          <w:i w:val="1"/>
          <w:iCs w:val="1"/>
          <w:color w:val="auto"/>
        </w:rPr>
        <w:t>Start Date</w:t>
      </w:r>
      <w:r>
        <w:rPr>
          <w:rFonts w:ascii="Calibri" w:cs="Calibri" w:eastAsia="Calibri" w:hAnsi="Calibri"/>
          <w:sz w:val="20"/>
          <w:szCs w:val="20"/>
          <w:color w:val="auto"/>
        </w:rPr>
        <w: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Positon</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Your positon will be Chief Medical and Development Ofcer of the Company with responsibilites, dutes, and authority as usual and customary for such positons, reportng to the Company’s Chief Executve Ofcer. In this positon you will be permited to work remotely, subject to reasonable business travel. Of course, the Company may change your positon, dutes, and work locaton from tme to tme in its discreton, subject to the severance protectons outlined below.</w:t>
      </w:r>
    </w:p>
    <w:p>
      <w:pPr>
        <w:spacing w:after="0" w:line="22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While you are employed by the Company, you will (i) devote your full business tme, energy and skill to the performance of your dutes for the Company and (ii) hold no other employment or consultng positons, unless you receive writen consent from the Company’s board of directors (the “</w:t>
      </w:r>
      <w:r>
        <w:rPr>
          <w:rFonts w:ascii="Calibri" w:cs="Calibri" w:eastAsia="Calibri" w:hAnsi="Calibri"/>
          <w:sz w:val="20"/>
          <w:szCs w:val="20"/>
          <w:b w:val="1"/>
          <w:bCs w:val="1"/>
          <w:i w:val="1"/>
          <w:iCs w:val="1"/>
          <w:color w:val="auto"/>
        </w:rPr>
        <w:t>Board</w:t>
      </w:r>
      <w:r>
        <w:rPr>
          <w:rFonts w:ascii="Calibri" w:cs="Calibri" w:eastAsia="Calibri" w:hAnsi="Calibri"/>
          <w:sz w:val="20"/>
          <w:szCs w:val="20"/>
          <w:color w:val="auto"/>
        </w:rPr>
        <w:t>”) in advance. Notwithstanding the foregoing, you shall be enttled to engage in (a) service on the board of directors of two for-proft companies, businesses or trade organizatons, provided that you shall not serve on the board of any entty that competes with the Company, as determined by the Board, (b) serve on the board of directors of not-for-proft organizatons, (c) other charitable actvites and community afairs, and (d) management of your personal and family investments and afairs, in each case to the extent such actvites do not, either individually or in the aggregate, materially interfere with the performance of your dutes and responsibilites to the Company.</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Compensaton and Benefts</w:t>
      </w:r>
    </w:p>
    <w:p>
      <w:pPr>
        <w:spacing w:after="0" w:line="225"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Your inital base salary will be paid at the rate of $510,000 per year, less payroll deductons and withholdings, paid on the Company’s normal payroll schedule (“</w:t>
      </w:r>
      <w:r>
        <w:rPr>
          <w:rFonts w:ascii="Calibri" w:cs="Calibri" w:eastAsia="Calibri" w:hAnsi="Calibri"/>
          <w:sz w:val="20"/>
          <w:szCs w:val="20"/>
          <w:b w:val="1"/>
          <w:bCs w:val="1"/>
          <w:i w:val="1"/>
          <w:iCs w:val="1"/>
          <w:color w:val="auto"/>
        </w:rPr>
        <w:t>Base Salary</w:t>
      </w:r>
      <w:r>
        <w:rPr>
          <w:rFonts w:ascii="Calibri" w:cs="Calibri" w:eastAsia="Calibri" w:hAnsi="Calibri"/>
          <w:sz w:val="20"/>
          <w:szCs w:val="20"/>
          <w:color w:val="auto"/>
        </w:rPr>
        <w:t>”). The Compensaton Commitee of the Board (the “</w:t>
      </w:r>
      <w:r>
        <w:rPr>
          <w:rFonts w:ascii="Calibri" w:cs="Calibri" w:eastAsia="Calibri" w:hAnsi="Calibri"/>
          <w:sz w:val="20"/>
          <w:szCs w:val="20"/>
          <w:b w:val="1"/>
          <w:bCs w:val="1"/>
          <w:i w:val="1"/>
          <w:iCs w:val="1"/>
          <w:color w:val="auto"/>
        </w:rPr>
        <w:t>Compensaton Commitee</w:t>
      </w:r>
      <w:r>
        <w:rPr>
          <w:rFonts w:ascii="Calibri" w:cs="Calibri" w:eastAsia="Calibri" w:hAnsi="Calibri"/>
          <w:sz w:val="20"/>
          <w:szCs w:val="20"/>
          <w:color w:val="auto"/>
        </w:rPr>
        <w:t>”) shall review your Base Salary not less than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Pr>
          <w:p>
            <w:pPr>
              <w:ind w:left="100"/>
              <w:spacing w:after="0"/>
              <w:rPr>
                <w:sz w:val="20"/>
                <w:szCs w:val="20"/>
                <w:color w:val="auto"/>
              </w:rPr>
            </w:pPr>
            <w:r>
              <w:rPr>
                <w:rFonts w:ascii="Calibri" w:cs="Calibri" w:eastAsia="Calibri" w:hAnsi="Calibri"/>
                <w:sz w:val="16"/>
                <w:szCs w:val="16"/>
                <w:b w:val="1"/>
                <w:bCs w:val="1"/>
                <w:color w:val="72DE60"/>
              </w:rPr>
              <w:t>Kyverna Therapeutcs, Inc.</w:t>
            </w:r>
          </w:p>
        </w:tc>
        <w:tc>
          <w:tcPr>
            <w:tcW w:w="3840" w:type="dxa"/>
            <w:vAlign w:val="bottom"/>
          </w:tcPr>
          <w:p>
            <w:pPr>
              <w:ind w:left="1000"/>
              <w:spacing w:after="0"/>
              <w:rPr>
                <w:sz w:val="20"/>
                <w:szCs w:val="20"/>
                <w:color w:val="auto"/>
              </w:rPr>
            </w:pPr>
            <w:r>
              <w:rPr>
                <w:rFonts w:ascii="Calibri" w:cs="Calibri" w:eastAsia="Calibri" w:hAnsi="Calibri"/>
                <w:sz w:val="16"/>
                <w:szCs w:val="16"/>
                <w:color w:val="auto"/>
              </w:rPr>
              <w:t>5980 Horton Street, Suite 550</w:t>
            </w:r>
          </w:p>
        </w:tc>
        <w:tc>
          <w:tcPr>
            <w:tcW w:w="4540" w:type="dxa"/>
            <w:vAlign w:val="bottom"/>
          </w:tcPr>
          <w:p>
            <w:pPr>
              <w:ind w:left="900"/>
              <w:spacing w:after="0"/>
              <w:rPr>
                <w:sz w:val="20"/>
                <w:szCs w:val="20"/>
                <w:color w:val="auto"/>
              </w:rPr>
            </w:pPr>
            <w:r>
              <w:rPr>
                <w:rFonts w:ascii="Calibri" w:cs="Calibri" w:eastAsia="Calibri" w:hAnsi="Calibri"/>
                <w:sz w:val="16"/>
                <w:szCs w:val="16"/>
                <w:color w:val="auto"/>
              </w:rPr>
              <w:t>hello@kyvernatx.com</w:t>
            </w:r>
          </w:p>
        </w:tc>
      </w:tr>
      <w:tr>
        <w:trPr>
          <w:trHeight w:val="203"/>
        </w:trPr>
        <w:tc>
          <w:tcPr>
            <w:tcW w:w="2860" w:type="dxa"/>
            <w:vAlign w:val="bottom"/>
          </w:tcPr>
          <w:p>
            <w:pPr>
              <w:spacing w:after="0"/>
              <w:rPr>
                <w:sz w:val="17"/>
                <w:szCs w:val="17"/>
                <w:color w:val="auto"/>
              </w:rPr>
            </w:pPr>
          </w:p>
        </w:tc>
        <w:tc>
          <w:tcPr>
            <w:tcW w:w="3840" w:type="dxa"/>
            <w:vAlign w:val="bottom"/>
          </w:tcPr>
          <w:p>
            <w:pPr>
              <w:ind w:left="1000"/>
              <w:spacing w:after="0"/>
              <w:rPr>
                <w:sz w:val="20"/>
                <w:szCs w:val="20"/>
                <w:color w:val="auto"/>
              </w:rPr>
            </w:pPr>
            <w:r>
              <w:rPr>
                <w:rFonts w:ascii="Calibri" w:cs="Calibri" w:eastAsia="Calibri" w:hAnsi="Calibri"/>
                <w:sz w:val="16"/>
                <w:szCs w:val="16"/>
                <w:color w:val="auto"/>
              </w:rPr>
              <w:t>Emeryville, CA 94608</w:t>
            </w:r>
          </w:p>
        </w:tc>
        <w:tc>
          <w:tcPr>
            <w:tcW w:w="4540" w:type="dxa"/>
            <w:vAlign w:val="bottom"/>
          </w:tcPr>
          <w:p>
            <w:pPr>
              <w:ind w:left="900"/>
              <w:spacing w:after="0"/>
              <w:rPr>
                <w:sz w:val="20"/>
                <w:szCs w:val="20"/>
                <w:color w:val="auto"/>
              </w:rPr>
            </w:pPr>
            <w:r>
              <w:rPr>
                <w:rFonts w:ascii="Calibri" w:cs="Calibri" w:eastAsia="Calibri" w:hAnsi="Calibri"/>
                <w:sz w:val="16"/>
                <w:szCs w:val="16"/>
                <w:color w:val="auto"/>
              </w:rPr>
              <w:t>kyvernatx.com</w:t>
            </w:r>
          </w:p>
        </w:tc>
      </w:tr>
      <w:tr>
        <w:trPr>
          <w:trHeight w:val="1384"/>
        </w:trPr>
        <w:tc>
          <w:tcPr>
            <w:tcW w:w="28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89" w:name="page190"/>
    <w:bookmarkEnd w:id="189"/>
    <w:p>
      <w:pPr>
        <w:jc w:val="both"/>
        <w:spacing w:after="0" w:line="237" w:lineRule="auto"/>
        <w:rPr>
          <w:sz w:val="20"/>
          <w:szCs w:val="20"/>
          <w:color w:val="auto"/>
        </w:rPr>
      </w:pPr>
      <w:r>
        <w:rPr>
          <w:rFonts w:ascii="Calibri" w:cs="Calibri" w:eastAsia="Calibri" w:hAnsi="Calibri"/>
          <w:sz w:val="20"/>
          <w:szCs w:val="20"/>
          <w:color w:val="auto"/>
        </w:rPr>
        <w:t>You will also be eligible for an incentve bonus for each fscal year of the Company that you are employed. Whether you receive a bonus and the amount of any such bonus will be determined by the Compensaton Commitee in good‐faith based on criteria determined by the Compensaton Commitee in its discreton. Your target bonus will be equal to 40% of your annual Base Salary, although the actual amount of any such bonus may be more or less than such amount based on the determinaton of the Compensaton Commitee; provided that, for the inital calendar year of employment, you shall receive a pro-rated bonus at target, subject to your contnued employment through payment. The Company will pay you your bonus for any one year no later than March 15th of the following calendar year, less payroll deductons and withholdings. The bonus is not earned untl paid and no porton of the bonus will be paid if your employment terminates for any reason prior to the payment date.</w:t>
      </w:r>
    </w:p>
    <w:p>
      <w:pPr>
        <w:spacing w:after="0" w:line="231"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You will be eligible to receive a sign-on bonus in the amount of $550,000, with $250,000, less applicable withholdings, paid on the frst regularly scheduled Company payroll date that occurs following the Start Date and the balance ($300,000), less applicable withholdings, paid on the frst regularly scheduled Company payroll date afer the frst anniversary of the Start Date, subject to your contnued employment with the Company through payment; provided that you (or your estate) will receive payment of any unpaid sign-on bonus (the “Unpaid Sign-On Bonus”) if your employment terminates prior to the second sign-on bonus payment date other than due to your voluntary resignaton without Good Reason or by the Company for Cause. You agree that in the event of the terminaton of your employment due to your voluntary resignaton without Good Reason or by the Company for Cause, in either case prior to the second anniversary of the Start Date, you will within thirty (30) days of such terminaton of employment repay the amount of the sign-on bonus previously paid to you.</w:t>
      </w:r>
    </w:p>
    <w:p>
      <w:pPr>
        <w:spacing w:after="0" w:line="26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During your employment, you will be eligible to partcipate in the benefts plans ofered to similarly situated employees of the Company, subject to the terms of the applicable plan and generally applicable Company policies. The Company currently ofers its employees the following benefts: medical insurance coverage, dental, vision, disability, and life insurance, as well as other benefts for which you will be eligible efectve on your date of hire. You also will be eligible to partcipate in the Company’s 401K plan. Our 401(k) plan has an automatc enrollment feature designed to help eligible employees save for retrement. The default rate of automatc enrollment is 4% pretax. Additonal informaton is shared as part of your onboarding process as well as during your new hire orientaton.</w:t>
      </w:r>
    </w:p>
    <w:p>
      <w:pPr>
        <w:spacing w:after="0" w:line="22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Currently, the Company has a fexible vacaton policy for exempt employees. Vacaton hours are not alloted or accrued, and there is no “unused” vacaton tme to be carried over from one year to the next nor paid out upon terminaton. Vacaton tme of can be taken as needed. The Company also provides pre-set paid holidays each year.</w:t>
      </w:r>
    </w:p>
    <w:p>
      <w:pPr>
        <w:spacing w:after="0" w:line="22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 full descripton of current benefts is available for your review. The Company may change compensaton and benefts from tme to tme in its discreton, subject to the severance protectons outlined below.</w:t>
      </w:r>
    </w:p>
    <w:p>
      <w:pPr>
        <w:spacing w:after="0" w:line="226"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Company will reimburse all reasonable business expenses that are documented by you and incurred in the ordinary course of business in accordance with the Company’s standard policies and procedures. In additon, the Company will reimburse you for your reasonable atorneys’ fees incurred in connecton with the negotaton and documentaton of this Agreement and any related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0" w:name="page191"/>
    <w:bookmarkEnd w:id="190"/>
    <w:p>
      <w:pPr>
        <w:spacing w:after="0"/>
        <w:rPr>
          <w:sz w:val="20"/>
          <w:szCs w:val="20"/>
          <w:color w:val="auto"/>
        </w:rPr>
      </w:pPr>
      <w:r>
        <w:rPr>
          <w:rFonts w:ascii="Calibri" w:cs="Calibri" w:eastAsia="Calibri" w:hAnsi="Calibri"/>
          <w:sz w:val="20"/>
          <w:szCs w:val="20"/>
          <w:b w:val="1"/>
          <w:bCs w:val="1"/>
          <w:color w:val="auto"/>
        </w:rPr>
        <w:t>Equity</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As soon as practcable following your Start Date, the Company will grant you a nonstatutory opton to purchase 425,000 shares of the Company’s common stock, with an exercise price equal to the closing price of the Company’s common stock on the date of grant (the “</w:t>
      </w:r>
      <w:r>
        <w:rPr>
          <w:rFonts w:ascii="Calibri" w:cs="Calibri" w:eastAsia="Calibri" w:hAnsi="Calibri"/>
          <w:sz w:val="20"/>
          <w:szCs w:val="20"/>
          <w:b w:val="1"/>
          <w:bCs w:val="1"/>
          <w:i w:val="1"/>
          <w:iCs w:val="1"/>
          <w:color w:val="auto"/>
        </w:rPr>
        <w:t>Opton</w:t>
      </w:r>
      <w:r>
        <w:rPr>
          <w:rFonts w:ascii="Calibri" w:cs="Calibri" w:eastAsia="Calibri" w:hAnsi="Calibri"/>
          <w:sz w:val="20"/>
          <w:szCs w:val="20"/>
          <w:color w:val="auto"/>
        </w:rPr>
        <w:t>”). The Opton will be granted pursuant to, and governed by, the Company’s Inducement Equity Incentve Plan (the “</w:t>
      </w:r>
      <w:r>
        <w:rPr>
          <w:rFonts w:ascii="Calibri" w:cs="Calibri" w:eastAsia="Calibri" w:hAnsi="Calibri"/>
          <w:sz w:val="20"/>
          <w:szCs w:val="20"/>
          <w:b w:val="1"/>
          <w:bCs w:val="1"/>
          <w:i w:val="1"/>
          <w:iCs w:val="1"/>
          <w:color w:val="auto"/>
        </w:rPr>
        <w:t>Plan</w:t>
      </w:r>
      <w:r>
        <w:rPr>
          <w:rFonts w:ascii="Calibri" w:cs="Calibri" w:eastAsia="Calibri" w:hAnsi="Calibri"/>
          <w:sz w:val="20"/>
          <w:szCs w:val="20"/>
          <w:color w:val="auto"/>
        </w:rPr>
        <w:t>”) and the standard form of opton agreement used pursuant to the Plan. The Opton will vest with respect to 25% of the Opton shares on the 12‐month anniversary of your Start Date, and as to the balance in equal monthly installments over the next 36 months, subject to your Contnuous Service (as defned in the Plan) as of each such date but with the vestng acceleraton set forth in the Severance secton below. In additon, with respect to each calendar year during your employment with the Company following the year in which the Start Date occurs, you shall be eligible to receive annual equity awards under the Plan or any successor plan, as determined by the Board in its sole discreton.</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Confdental Informaton and Company Policies</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As a Company employee, you will be expected to abide by Company rules and policies. As a conditon of employment, you must sign and comply with the Employee Confdental Informaton and Inventons Assignment Agreement, which prohibits unauthorized use or disclosure of the Company’s proprietary informaton, among other obligatons.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By signing this leter you are representng that you have full authority to accept this positon and perform the dutes of the positon without confict with any other obligatons and that you are not involved in any situaton that might create, or appear to create, a confict of interest with respect to your loyalty or dutes to the Company. You specifcally warrant that you are not subject to an employment agreement or restrictve covenant preventng full performance of your dutes to the Company. You agree not to bring to the Company or use in the performance of your responsibilites at the Company any materials or documents of a former employer that are not generally available to the public, unless you have obtained express writen authorizaton from the former employer for their possession and use. You also agree to honor all obligatons to former employers during your employment with the Company.</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At‐Will Employment and Exempt Status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Your employment with the Company will be “at‐will.” You may terminate your employment with the Company at any tme and for any reason whatsoever simply by notfying the Company. Likewise, the Company may terminate your employment at any tme, with or without cause or advance notce. Your employment at‐will status can only be modifed in a writen agreement signed by you and by an ofcer of the Company. You agree that, unless you and the Company agree otherwise, the terminaton of your employment shall be treated as your resignaton from all positons you hold with the Company and its afliates, and you agree to execute any leter of resignaton consistent with the foregoing that the Company reasonably requests.</w:t>
      </w:r>
    </w:p>
    <w:p>
      <w:pPr>
        <w:spacing w:after="0" w:line="22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As a full‐tme exempt salaried employee, you will be expected to work the Company’s normal business hours as well as additonal hours as required by the nature of your work assignments, and you will not be enttled to overtme compensaton.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91" w:name="page192"/>
    <w:bookmarkEnd w:id="191"/>
    <w:p>
      <w:pPr>
        <w:spacing w:after="0"/>
        <w:rPr>
          <w:sz w:val="20"/>
          <w:szCs w:val="20"/>
          <w:color w:val="auto"/>
        </w:rPr>
      </w:pPr>
      <w:r>
        <w:rPr>
          <w:rFonts w:ascii="Calibri" w:cs="Calibri" w:eastAsia="Calibri" w:hAnsi="Calibri"/>
          <w:sz w:val="20"/>
          <w:szCs w:val="20"/>
          <w:b w:val="1"/>
          <w:bCs w:val="1"/>
          <w:color w:val="auto"/>
        </w:rPr>
        <w:t>Severance</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If, at any tme, the Company terminates your employment for Cause, or if you resign without Good Reason, or your employment terminates as a result of your death or disability, you will receive your Base Salary accrued through your last day of employment. Under these circumstances, you will not be enttled to any other form of compensaton from the Company, including severance benefts; provided that if your employment terminates as a result of your death or disability, you (or your estate) will be paid the Unpaid Sign-On Bonus.</w:t>
      </w:r>
    </w:p>
    <w:p>
      <w:pPr>
        <w:spacing w:after="0" w:line="23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If the Company terminates your employment without Cause, or you resign for Good Reason, and other than as a result of your death or disability, and provided such terminaton consttutes a “separaton from service” (as defned under Treasury Regulaton Secton 1.409A‐ 1(h), without regard to any alternatve defniton thereunder, a “</w:t>
      </w:r>
      <w:r>
        <w:rPr>
          <w:rFonts w:ascii="Calibri" w:cs="Calibri" w:eastAsia="Calibri" w:hAnsi="Calibri"/>
          <w:sz w:val="20"/>
          <w:szCs w:val="20"/>
          <w:b w:val="1"/>
          <w:bCs w:val="1"/>
          <w:i w:val="1"/>
          <w:iCs w:val="1"/>
          <w:color w:val="auto"/>
        </w:rPr>
        <w:t>Separaton from Service</w:t>
      </w:r>
      <w:r>
        <w:rPr>
          <w:rFonts w:ascii="Calibri" w:cs="Calibri" w:eastAsia="Calibri" w:hAnsi="Calibri"/>
          <w:sz w:val="20"/>
          <w:szCs w:val="20"/>
          <w:color w:val="auto"/>
        </w:rPr>
        <w:t>”), then subject to your obligatons below, you shall be enttled to receive the following severance benefts:</w:t>
      </w:r>
    </w:p>
    <w:p>
      <w:pPr>
        <w:spacing w:after="0" w:line="228" w:lineRule="exact"/>
        <w:rPr>
          <w:sz w:val="20"/>
          <w:szCs w:val="20"/>
          <w:color w:val="auto"/>
        </w:rPr>
      </w:pPr>
    </w:p>
    <w:p>
      <w:pPr>
        <w:jc w:val="both"/>
        <w:ind w:left="760" w:hanging="378"/>
        <w:spacing w:after="0" w:line="237" w:lineRule="auto"/>
        <w:tabs>
          <w:tab w:leader="none" w:pos="760" w:val="left"/>
        </w:tabs>
        <w:numPr>
          <w:ilvl w:val="0"/>
          <w:numId w:val="74"/>
        </w:numPr>
        <w:rPr>
          <w:rFonts w:ascii="Calibri" w:cs="Calibri" w:eastAsia="Calibri" w:hAnsi="Calibri"/>
          <w:sz w:val="20"/>
          <w:szCs w:val="20"/>
          <w:color w:val="auto"/>
        </w:rPr>
      </w:pPr>
      <w:r>
        <w:rPr>
          <w:rFonts w:ascii="Calibri" w:cs="Calibri" w:eastAsia="Calibri" w:hAnsi="Calibri"/>
          <w:sz w:val="20"/>
          <w:szCs w:val="20"/>
          <w:color w:val="auto"/>
        </w:rPr>
        <w:t>an amount equal to 12 months of your then‐current Base Salary, less all applicable withholdings and deductons, paid over such 12‐month period. This amount will be paid in equal installments on the Company’s regular payroll schedule and will be subject to applicable tax withholdings over the period following the date of your terminaton date; provided, however, that no payments will be made prior to the 60th day following your Separaton from Service. On the 60th day following your Separaton from Service, the Company will pay you in a lump sum the severance benefts that you would have received on or prior to such date under the original schedule but for the delay while waitng for the 60th day in compliance with Code Secton 409A and the efectveness of the Release (as defned herein), with the balance to be paid as originally scheduled.</w:t>
      </w:r>
    </w:p>
    <w:p>
      <w:pPr>
        <w:spacing w:after="0" w:line="229" w:lineRule="exact"/>
        <w:rPr>
          <w:rFonts w:ascii="Calibri" w:cs="Calibri" w:eastAsia="Calibri" w:hAnsi="Calibri"/>
          <w:sz w:val="20"/>
          <w:szCs w:val="20"/>
          <w:color w:val="auto"/>
        </w:rPr>
      </w:pPr>
    </w:p>
    <w:p>
      <w:pPr>
        <w:jc w:val="both"/>
        <w:ind w:left="760" w:hanging="378"/>
        <w:spacing w:after="0" w:line="237" w:lineRule="auto"/>
        <w:tabs>
          <w:tab w:leader="none" w:pos="760" w:val="left"/>
        </w:tabs>
        <w:numPr>
          <w:ilvl w:val="0"/>
          <w:numId w:val="74"/>
        </w:numPr>
        <w:rPr>
          <w:rFonts w:ascii="Calibri" w:cs="Calibri" w:eastAsia="Calibri" w:hAnsi="Calibri"/>
          <w:sz w:val="20"/>
          <w:szCs w:val="20"/>
          <w:color w:val="auto"/>
        </w:rPr>
      </w:pPr>
      <w:r>
        <w:rPr>
          <w:rFonts w:ascii="Calibri" w:cs="Calibri" w:eastAsia="Calibri" w:hAnsi="Calibri"/>
          <w:sz w:val="20"/>
          <w:szCs w:val="20"/>
          <w:color w:val="auto"/>
        </w:rPr>
        <w:t>if you tmely elect contnued coverage under the Consolidated Omnibus Budget Reconciliaton Act of 1985, as amended (</w:t>
      </w:r>
      <w:r>
        <w:rPr>
          <w:rFonts w:ascii="Calibri" w:cs="Calibri" w:eastAsia="Calibri" w:hAnsi="Calibri"/>
          <w:sz w:val="20"/>
          <w:szCs w:val="20"/>
          <w:b w:val="1"/>
          <w:bCs w:val="1"/>
          <w:i w:val="1"/>
          <w:iCs w:val="1"/>
          <w:color w:val="auto"/>
        </w:rPr>
        <w:t>“COBRA”</w:t>
      </w:r>
      <w:r>
        <w:rPr>
          <w:rFonts w:ascii="Calibri" w:cs="Calibri" w:eastAsia="Calibri" w:hAnsi="Calibri"/>
          <w:sz w:val="20"/>
          <w:szCs w:val="20"/>
          <w:color w:val="auto"/>
        </w:rPr>
        <w:t>), then the Company shall pay the entre COBRA premiums necessary to contnue your health insurance coverage in efect for yourself and your eligible dependents on the terminaton date untl the earliest of (A) the close of the 12‐month period following the terminaton of your employment, (B) the expiraton of your eligibility for the contnuaton coverage under COBRA, and (C) the date when you become eligible for substantally equivalent health insurance coverage in connecton with new employment. If you become eligible for coverage under another employer’s group health plan or otherwise cease to be eligible for COBRA during the period provided in this clause, you must immediately notfy the Company of such event, and all payments and obligatons under this clause shall cease.</w:t>
      </w:r>
    </w:p>
    <w:p>
      <w:pPr>
        <w:spacing w:after="0" w:line="231" w:lineRule="exact"/>
        <w:rPr>
          <w:rFonts w:ascii="Calibri" w:cs="Calibri" w:eastAsia="Calibri" w:hAnsi="Calibri"/>
          <w:sz w:val="20"/>
          <w:szCs w:val="20"/>
          <w:color w:val="auto"/>
        </w:rPr>
      </w:pPr>
    </w:p>
    <w:p>
      <w:pPr>
        <w:jc w:val="both"/>
        <w:ind w:left="760" w:hanging="378"/>
        <w:spacing w:after="0" w:line="237" w:lineRule="auto"/>
        <w:tabs>
          <w:tab w:leader="none" w:pos="760" w:val="left"/>
        </w:tabs>
        <w:numPr>
          <w:ilvl w:val="0"/>
          <w:numId w:val="74"/>
        </w:numPr>
        <w:rPr>
          <w:rFonts w:ascii="Calibri" w:cs="Calibri" w:eastAsia="Calibri" w:hAnsi="Calibri"/>
          <w:sz w:val="20"/>
          <w:szCs w:val="20"/>
          <w:color w:val="auto"/>
        </w:rPr>
      </w:pPr>
      <w:r>
        <w:rPr>
          <w:rFonts w:ascii="Calibri" w:cs="Calibri" w:eastAsia="Calibri" w:hAnsi="Calibri"/>
          <w:sz w:val="20"/>
          <w:szCs w:val="20"/>
          <w:color w:val="auto"/>
        </w:rPr>
        <w:t>If the Separaton from Service occurs within three (3) months prior to or upon or within twelve (12) months following a Change in Control (as defned in the Company’s 2024 Equity Incentve Plan), any service-based vestng requirements with respect to your then outstanding Company stock optons, restricted stock awards, and restricted stock unit awards, if any, shall be deemed fully satsfed and any performance-based vestng requirements with respect to such optons and awards, if any and as applicable, shall be deemed satsfed at target.</w:t>
      </w:r>
    </w:p>
    <w:p>
      <w:pPr>
        <w:spacing w:after="0" w:line="226"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 xml:space="preserve">Your receipt of the severance benefts set forth herein is conditonal upon (a) your contnuing to comply with your obligatons under your Employee Confdental Informaton and Inventon Assignment Agreement; and (b) your delivering to the Company a general release of claims in favor of the Company and its afliates in the form atached hereto as </w:t>
      </w:r>
      <w:r>
        <w:rPr>
          <w:rFonts w:ascii="Calibri" w:cs="Calibri" w:eastAsia="Calibri" w:hAnsi="Calibri"/>
          <w:sz w:val="20"/>
          <w:szCs w:val="20"/>
          <w:u w:val="single" w:color="auto"/>
          <w:color w:val="auto"/>
        </w:rPr>
        <w:t>Exhibit A</w:t>
      </w:r>
      <w:r>
        <w:rPr>
          <w:rFonts w:ascii="Calibri" w:cs="Calibri" w:eastAsia="Calibri" w:hAnsi="Calibri"/>
          <w:sz w:val="20"/>
          <w:szCs w:val="20"/>
          <w:color w:val="auto"/>
        </w:rPr>
        <w:t xml:space="preserve"> (but with any change the Company may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92" w:name="page193"/>
    <w:bookmarkEnd w:id="192"/>
    <w:p>
      <w:pPr>
        <w:ind w:right="20"/>
        <w:spacing w:after="0" w:line="234" w:lineRule="auto"/>
        <w:rPr>
          <w:sz w:val="20"/>
          <w:szCs w:val="20"/>
          <w:color w:val="auto"/>
        </w:rPr>
      </w:pPr>
      <w:r>
        <w:rPr>
          <w:rFonts w:ascii="Calibri" w:cs="Calibri" w:eastAsia="Calibri" w:hAnsi="Calibri"/>
          <w:sz w:val="20"/>
          <w:szCs w:val="20"/>
          <w:color w:val="auto"/>
        </w:rPr>
        <w:t>reasonably request to refect changes in applicable law) that becomes efectve and irrevocable within 60 days following your terminaton date (the “</w:t>
      </w:r>
      <w:r>
        <w:rPr>
          <w:rFonts w:ascii="Calibri" w:cs="Calibri" w:eastAsia="Calibri" w:hAnsi="Calibri"/>
          <w:sz w:val="20"/>
          <w:szCs w:val="20"/>
          <w:b w:val="1"/>
          <w:bCs w:val="1"/>
          <w:i w:val="1"/>
          <w:iCs w:val="1"/>
          <w:color w:val="auto"/>
        </w:rPr>
        <w:t>Release</w:t>
      </w:r>
      <w:r>
        <w:rPr>
          <w:rFonts w:ascii="Calibri" w:cs="Calibri" w:eastAsia="Calibri" w:hAnsi="Calibri"/>
          <w:sz w:val="20"/>
          <w:szCs w:val="20"/>
          <w:color w:val="auto"/>
        </w:rPr>
        <w: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Defnitons</w:t>
      </w:r>
    </w:p>
    <w:p>
      <w:pPr>
        <w:spacing w:after="0" w:line="22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For purposes of this Agreement, “</w:t>
      </w:r>
      <w:r>
        <w:rPr>
          <w:rFonts w:ascii="Calibri" w:cs="Calibri" w:eastAsia="Calibri" w:hAnsi="Calibri"/>
          <w:sz w:val="20"/>
          <w:szCs w:val="20"/>
          <w:b w:val="1"/>
          <w:bCs w:val="1"/>
          <w:i w:val="1"/>
          <w:iCs w:val="1"/>
          <w:color w:val="auto"/>
        </w:rPr>
        <w:t>Cause</w:t>
      </w:r>
      <w:r>
        <w:rPr>
          <w:rFonts w:ascii="Calibri" w:cs="Calibri" w:eastAsia="Calibri" w:hAnsi="Calibri"/>
          <w:sz w:val="20"/>
          <w:szCs w:val="20"/>
          <w:color w:val="auto"/>
        </w:rPr>
        <w:t>” means (a) your material breach of any agreement between you and the Company which breach, if curable (as determined by the Board), is not cured within thirty (30) days afer your receipt of writen notce from the Board;</w:t>
      </w:r>
    </w:p>
    <w:p>
      <w:pPr>
        <w:spacing w:after="0" w:line="10" w:lineRule="exact"/>
        <w:rPr>
          <w:sz w:val="20"/>
          <w:szCs w:val="20"/>
          <w:color w:val="auto"/>
        </w:rPr>
      </w:pPr>
    </w:p>
    <w:p>
      <w:pPr>
        <w:jc w:val="both"/>
        <w:ind w:firstLine="8"/>
        <w:spacing w:after="0" w:line="238" w:lineRule="auto"/>
        <w:tabs>
          <w:tab w:leader="none" w:pos="279" w:val="left"/>
        </w:tabs>
        <w:numPr>
          <w:ilvl w:val="0"/>
          <w:numId w:val="75"/>
        </w:numPr>
        <w:rPr>
          <w:rFonts w:ascii="Calibri" w:cs="Calibri" w:eastAsia="Calibri" w:hAnsi="Calibri"/>
          <w:sz w:val="20"/>
          <w:szCs w:val="20"/>
          <w:color w:val="auto"/>
        </w:rPr>
      </w:pPr>
      <w:r>
        <w:rPr>
          <w:rFonts w:ascii="Calibri" w:cs="Calibri" w:eastAsia="Calibri" w:hAnsi="Calibri"/>
          <w:sz w:val="20"/>
          <w:szCs w:val="20"/>
          <w:color w:val="auto"/>
        </w:rPr>
        <w:t>your material failure to comply with the Company’s writen policies or rules which failure, if curable (as determined by the Board), is not cured within thirty (30) days afer your receipt of writen notce from the Board; (c) your convicton of, or your plea of “guilty” or “no contest” to, a felony; (d) your gross misconduct which is materially and demonstrably injurious to the Company; (e) your contnuing failure to undertake good faith eforts to perform assigned dutes that are consistent with your positon (other than any such failure resultng from incapacity due to physical or mental illness) afer receiving writen notfcaton of the failure from the Board and, if curable (as determined by the Board), a 30-day opportunity to cure such failure and a reasonable opportunity to present to the Board your positon regarding any dispute relatng to the existence of such failure; (f) your failure to cooperate in good faith with a governmental or internal investgaton of the Company or its directors, ofcers or employees, if the Company has requested your cooperaton; or (g) any intentonal act that has a material detrimental efect on the Company’s reputaton or business, unless such acton was taken with the expectaton that such acton was in the Company’s best interests.</w:t>
      </w:r>
    </w:p>
    <w:p>
      <w:pPr>
        <w:spacing w:after="0" w:line="225"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For purposes of this Agreement, “</w:t>
      </w:r>
      <w:r>
        <w:rPr>
          <w:rFonts w:ascii="Calibri" w:cs="Calibri" w:eastAsia="Calibri" w:hAnsi="Calibri"/>
          <w:sz w:val="20"/>
          <w:szCs w:val="20"/>
          <w:b w:val="1"/>
          <w:bCs w:val="1"/>
          <w:i w:val="1"/>
          <w:iCs w:val="1"/>
          <w:color w:val="auto"/>
        </w:rPr>
        <w:t>Good Reason</w:t>
      </w:r>
      <w:r>
        <w:rPr>
          <w:rFonts w:ascii="Calibri" w:cs="Calibri" w:eastAsia="Calibri" w:hAnsi="Calibri"/>
          <w:sz w:val="20"/>
          <w:szCs w:val="20"/>
          <w:color w:val="auto"/>
        </w:rPr>
        <w:t xml:space="preserve">” means that any of the following actons are taken by the Company without your consent: (a) a material reducton in your Base Salary (other than a reducton generally applicable to employees of the Company who are similarly situated with you), which, for this purpose, means a decrease by more than 10%; (b) a material diminuton of your ttle, authority, dutes, or responsibilites in efect immediately prior to the change; provided, however, that a reducton in your authority, dutes or responsibilites solely by virtue of the Company undergoing a Change in Control and being made part of a larger entty or group of enttes, such that you retain substantally similar or greater authority, dutes and responsibilites with respect to the entty, division or business unit that consttutes the Company’s business following a Change in Control, shall not consttute Good Reason; (c) a requirement that you are no longer permited to work remotely or a relocaton of your principal work locaton that increases your one‐ way commute by at least 50 miles; or (d) you being required to report to another person other than the Board or the Company’s Chief Executve Ofcer. To resign for Good Reason, all of the following requirements must be satsfed: (1) you must provide notce to the Company of your intent to assert Good Reason within 30 days of the inital existence of one or more of the conditons set forth in subclauses (a) through (d) above; (2) the Company will have 30 days (the </w:t>
      </w:r>
      <w:r>
        <w:rPr>
          <w:rFonts w:ascii="Calibri" w:cs="Calibri" w:eastAsia="Calibri" w:hAnsi="Calibri"/>
          <w:sz w:val="20"/>
          <w:szCs w:val="20"/>
          <w:b w:val="1"/>
          <w:bCs w:val="1"/>
          <w:i w:val="1"/>
          <w:iCs w:val="1"/>
          <w:color w:val="auto"/>
        </w:rPr>
        <w:t>“Company Cure Period”</w:t>
      </w:r>
      <w:r>
        <w:rPr>
          <w:rFonts w:ascii="Calibri" w:cs="Calibri" w:eastAsia="Calibri" w:hAnsi="Calibri"/>
          <w:sz w:val="20"/>
          <w:szCs w:val="20"/>
          <w:color w:val="auto"/>
        </w:rPr>
        <w:t>) from the date of such notce to remedy the conditon; and (3) your resignaton must occur within 30 days afer the expiraton of the Company Cure Period.</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Secton 409A</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payments and benefts under this Agreement are intended to qualify for exemptons from the applicaton of Secton 409A of the Internal Revenue Code (“</w:t>
      </w:r>
      <w:r>
        <w:rPr>
          <w:rFonts w:ascii="Calibri" w:cs="Calibri" w:eastAsia="Calibri" w:hAnsi="Calibri"/>
          <w:sz w:val="20"/>
          <w:szCs w:val="20"/>
          <w:b w:val="1"/>
          <w:bCs w:val="1"/>
          <w:i w:val="1"/>
          <w:iCs w:val="1"/>
          <w:color w:val="auto"/>
        </w:rPr>
        <w:t>Secton 409A</w:t>
      </w:r>
      <w:r>
        <w:rPr>
          <w:rFonts w:ascii="Calibri" w:cs="Calibri" w:eastAsia="Calibri" w:hAnsi="Calibri"/>
          <w:sz w:val="20"/>
          <w:szCs w:val="20"/>
          <w:color w:val="auto"/>
        </w:rPr>
        <w:t>”), and this Agreement will be construed to the greatest extent possible as consistent with those provisions, and to the extent not so exempt, this Agreement (and any defnitons hereunder) will be construed in a manner that complies with Secton 409A to the extent necessary to avoid adverse taxaton under Secton 409A. Notwithstanding</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3" w:name="page194"/>
    <w:bookmarkEnd w:id="193"/>
    <w:p>
      <w:pPr>
        <w:jc w:val="both"/>
        <w:spacing w:after="0"/>
        <w:rPr>
          <w:sz w:val="20"/>
          <w:szCs w:val="20"/>
          <w:color w:val="auto"/>
        </w:rPr>
      </w:pPr>
      <w:r>
        <w:rPr>
          <w:rFonts w:ascii="Calibri" w:cs="Calibri" w:eastAsia="Calibri" w:hAnsi="Calibri"/>
          <w:sz w:val="20"/>
          <w:szCs w:val="20"/>
          <w:color w:val="auto"/>
        </w:rPr>
        <w:t>anything to the contrary herein, to the extent required to comply with Secton 409A, a terminaton of employment shall not be deemed to have occurred for purposes of any provision of this Agreement providing for the payment of amounts or benefts upon or following a terminaton of employment unless such terminaton is also a Separaton from Service. Your right to receive any installment payments will be treated as a right to receive a series of separate payments and, accordingly, each installment payment shall at all tmes be considered a separate and distnct payment. Notwithstanding any provision to the contrary in this Agreement, if you are deemed by the Company at the tme of your Separaton from Service to be a “specifed employee” for purposes of Secton 409A, and if any of the payments upon Separaton from Service set forth herein and/or under any other agreement with the Company are deemed to be “deferred compensaton,” then, to the extent delayed commencement of any porton of such payments is required in order to avoid a prohibited distributon under Secton 409A and the related adverse taxaton under Secton 409A, such payments shall not be provided to you prior to the earliest of (a) the expiraton of the six‐month period measured from the date of Separaton from Service, (b) the date of your death or (c) such earlier date as permited under Secton 409A without the impositon of adverse taxaton. With respect to reimbursements or in‐kind benefts provided hereunder (or otherwise) that are not exempt from Secton 409A, the following rules shall apply: (x) the amount of expenses eligible for reimbursement, or in‐kind benefts provided, during any one taxable year shall not afect the expenses eligible for reimbursement, or in‐kind beneft to be provided in any other taxable year, (y) in the case of any reimbursements of eligible expenses, reimbursement shall be made on or before the last day of the taxable year following the taxable year in which the expense was incurred, and (z) the right to reimbursement or in‐kind benefts shall not be subject to liquidaton or exchange for another beneft.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Conditons, Dispute Resoluton, and Complete Agreement</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This ofer is contngent upon a satsfactory reference check and satsfactory proof of your right to work in the United States. Additonally, you are required to complete a background check, this ofer is contngent upon satsfactory clearance of such background check. You agree to assist as needed and to complete any documentaton at the Company’s request to meet these conditons.</w:t>
      </w:r>
    </w:p>
    <w:p>
      <w:pPr>
        <w:spacing w:after="0" w:line="225"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 xml:space="preserve">To ensure the rapid and economical resoluton of disputes that may arise in connecton with your employment with the Company, you and the Company agree that any and all disputes, claims, or causes of acton, in law or equity, including but not limited to statutory claims, arising from or relatng to the enforcement, breach, performance, or interpretaton of this Agreement, your employment with the Company, or the terminaton of your employment, shall be resolved pursuant to the Federal Arbitraton Act, 9 U.S.C. § 1‐16, to the fullest extent permited by law, by fnal, binding and confdental arbitraton conducted by JAMS or its successor, under JAMS’ then applicable rules and procedures for employment disputes before a single arbitrator (available upon request and also currently available at htp://www.jamsadr.com/rules‐employment‐arbitraton/) at such locaton as you and the Company may mutually agree or, in the absence of any agreement, in San Francisco, California. </w:t>
      </w:r>
      <w:r>
        <w:rPr>
          <w:rFonts w:ascii="Calibri" w:cs="Calibri" w:eastAsia="Calibri" w:hAnsi="Calibri"/>
          <w:sz w:val="20"/>
          <w:szCs w:val="20"/>
          <w:b w:val="1"/>
          <w:bCs w:val="1"/>
          <w:color w:val="auto"/>
        </w:rPr>
        <w:t>You acknowledge that by agreeing to this arbitraton procedure, both you and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the Company waive the right to resolve any such dispute through a trial by jury or judge</w:t>
      </w:r>
      <w:r>
        <w:rPr>
          <w:rFonts w:ascii="Calibri" w:cs="Calibri" w:eastAsia="Calibri" w:hAnsi="Calibri"/>
          <w:sz w:val="20"/>
          <w:szCs w:val="20"/>
          <w:color w:val="auto"/>
        </w:rPr>
        <w:t>. In additon, all claims, disputes, or causes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acton under this secton, whether by you or the Company, must be brought in an individual capacity, and shall not be brought as a plaintf (or claimant) or class member in any purported class or representatve proceeding, nor joined or consolidated with the claims of any other person or entty. The arbitrator may not consolidate the claims of more than one person or entty, and may not preside over any form of representatve or class proceeding. To the extent that the preceding sentences regarding class claims or proceedings are found to violate applicable law or are otherwise found unenforceable, any claim(s)</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4" w:name="page195"/>
    <w:bookmarkEnd w:id="194"/>
    <w:p>
      <w:pPr>
        <w:jc w:val="both"/>
        <w:spacing w:after="0"/>
        <w:rPr>
          <w:sz w:val="20"/>
          <w:szCs w:val="20"/>
          <w:color w:val="auto"/>
        </w:rPr>
      </w:pPr>
      <w:r>
        <w:rPr>
          <w:rFonts w:ascii="Calibri" w:cs="Calibri" w:eastAsia="Calibri" w:hAnsi="Calibri"/>
          <w:sz w:val="20"/>
          <w:szCs w:val="20"/>
          <w:color w:val="auto"/>
        </w:rPr>
        <w:t>alleged or brought on behalf of a class shall proceed in a court of law rather than by arbitraton. This paragraph shall not apply to any acton or claim that cannot be subject to mandatory arbitraton as a mater of law, including, without limitaton, claims brought pursuant to the California Private Atorneys General Act of 2004, as amended, the California Fair Employment and Housing Act, as amended, and the California Labor Code, as amended, to the extent such claims are not permited by applicable law(s) to be submited to mandatory arbitraton and the applicable law(s) are not preempted by the Federal Arbitraton Act or otherwise invalid (collectvely, the “</w:t>
      </w:r>
      <w:r>
        <w:rPr>
          <w:rFonts w:ascii="Calibri" w:cs="Calibri" w:eastAsia="Calibri" w:hAnsi="Calibri"/>
          <w:sz w:val="20"/>
          <w:szCs w:val="20"/>
          <w:b w:val="1"/>
          <w:bCs w:val="1"/>
          <w:i w:val="1"/>
          <w:iCs w:val="1"/>
          <w:color w:val="auto"/>
        </w:rPr>
        <w:t>Excluded Claims</w:t>
      </w:r>
      <w:r>
        <w:rPr>
          <w:rFonts w:ascii="Calibri" w:cs="Calibri" w:eastAsia="Calibri" w:hAnsi="Calibri"/>
          <w:sz w:val="20"/>
          <w:szCs w:val="20"/>
          <w:color w:val="auto"/>
        </w:rPr>
        <w:t>”). In the event you intend to bring multple claims, including one of the Excluded Claims listed above, the Excluded Claims may be fled with a court, while any other claims will remain subject to mandatory arbitraton. You will have the right to be represented by legal counsel at any arbitraton proceeding. Questons of whether a claim is subject to arbitraton under this agreement shall be decided by the arbitrator. Likewise, procedural questons which grow out of the dispute and bear on the fnal dispositon are also maters for the arbitrator. The arbitrator shall: (a) have the authority to compel adequate discovery for the resoluton of the dispute and to award such relief as would otherwise be permited by law; and (b) issue a writen statement signed by the arbitrator regarding the dispositon of each claim and the relief, if any, awarded as to each claim, the reasons for the award, and the arbitrator’s essental fndings and conclusions on which the award is based. The arbitrator shall be authorized to award all relief that you or the Company would be enttled to seek in a court of law. The Company shall pay all JAMS arbitraton fees in excess of the administratve fees that you would be required to pay if the dispute were decided in a court of law. Nothing in this leter agreement is intended to prevent either you or the Company from obtaining injunctve relief in court to prevent irreparable harm pending the conclusion of any such arbitraton. Any awards or orders in such arbitratons may be entered and enforced as judgments in the federal and state courts of any competent jurisdicton.</w:t>
      </w:r>
    </w:p>
    <w:p>
      <w:pPr>
        <w:spacing w:after="0" w:line="200" w:lineRule="exact"/>
        <w:rPr>
          <w:sz w:val="20"/>
          <w:szCs w:val="20"/>
          <w:color w:val="auto"/>
        </w:rPr>
      </w:pP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This leter agreement shall be governed, construed, interpreted, and enforced in accordance with its express terms, and otherwise in accordance with the substantve laws of the State of California, without giving efect to any principles of conficts of law, whether of the State of California or any other jurisdicton, and where applicable, the laws of the United States, that would result in the applicaton of the laws of any other jurisdicton.</w:t>
      </w:r>
    </w:p>
    <w:p>
      <w:pPr>
        <w:spacing w:after="0" w:line="228"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This leter, together with your Employee Confdental Informaton and Inventons Assignment Agreement, forms the complete and exclusive statement of your employment agreement with the Company. It supersedes any other agreements or promises made to you by anyone, whether oral or writen. Changes in your employment terms, other than those changes expressly reserved to the Company’s discreton in this leter, require a writen modifcaton signed by an ofcer of the Company. If any provision of this ofer leter agreement is determined to be invalid or unenforceable, in whole or in part, this determinaton shall not afect any other provision of this ofer leter agreement and the provision in queston shall be modifed so as to be rendered enforceable in a manner consistent with the intent of the partes insofar as possible under applicable law. This leter may be delivered and executed via electronic mail (including pdf or any electronic signature complying with the U.S. federal ESIGN Act of 2000, Uniform Electronic Transactons Act or other applicable law) or other transmission method and shall be deemed to have been duly and validly delivered and executed and be valid and efectve for all purposes and may be executed in any number of counterparts, each of which shall be deemed an original as against any party whose signature appears thereon, and all of which together shall consttute one and the same instrument.</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[Signature page follows]</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5" w:name="page196"/>
    <w:bookmarkEnd w:id="195"/>
    <w:p>
      <w:pPr>
        <w:ind w:right="20"/>
        <w:spacing w:after="0" w:line="234" w:lineRule="auto"/>
        <w:rPr>
          <w:sz w:val="20"/>
          <w:szCs w:val="20"/>
          <w:color w:val="auto"/>
        </w:rPr>
      </w:pPr>
      <w:r>
        <w:rPr>
          <w:rFonts w:ascii="Calibri" w:cs="Calibri" w:eastAsia="Calibri" w:hAnsi="Calibri"/>
          <w:sz w:val="20"/>
          <w:szCs w:val="20"/>
          <w:color w:val="auto"/>
        </w:rPr>
        <w:t>Please sign and date this leter, and the Employee Confdental Informaton and Inventons Assignment Agreement and return them to me by 5:00 p.m. Pacifc tme on January 3, 2025, if you wish to accept employment at the Company under the terms described above.</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We look forward to your favorable reply and to a productve and enjoyable work relatonship.</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Sincerely,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color w:val="auto"/>
        </w:rPr>
        <w:t>/s/ Warner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3950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238" w:lineRule="auto"/>
        <w:rPr>
          <w:sz w:val="20"/>
          <w:szCs w:val="20"/>
          <w:color w:val="auto"/>
        </w:rPr>
      </w:pPr>
      <w:r>
        <w:rPr>
          <w:rFonts w:ascii="Calibri" w:cs="Calibri" w:eastAsia="Calibri" w:hAnsi="Calibri"/>
          <w:sz w:val="20"/>
          <w:szCs w:val="20"/>
          <w:color w:val="auto"/>
        </w:rPr>
        <w:t>Warner Biddle</w:t>
      </w:r>
    </w:p>
    <w:p>
      <w:pPr>
        <w:spacing w:after="0"/>
        <w:rPr>
          <w:sz w:val="20"/>
          <w:szCs w:val="20"/>
          <w:color w:val="auto"/>
        </w:rPr>
      </w:pPr>
      <w:r>
        <w:rPr>
          <w:rFonts w:ascii="Calibri" w:cs="Calibri" w:eastAsia="Calibri" w:hAnsi="Calibri"/>
          <w:sz w:val="20"/>
          <w:szCs w:val="20"/>
          <w:color w:val="auto"/>
        </w:rPr>
        <w:t>Chief Executve Ofcer</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Understood and Accepted: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0" w:type="dxa"/>
            <w:vAlign w:val="bottom"/>
          </w:tcPr>
          <w:p>
            <w:pPr>
              <w:spacing w:after="0"/>
              <w:rPr>
                <w:sz w:val="21"/>
                <w:szCs w:val="21"/>
                <w:color w:val="auto"/>
              </w:rPr>
            </w:pPr>
          </w:p>
        </w:tc>
        <w:tc>
          <w:tcPr>
            <w:tcW w:w="4000" w:type="dxa"/>
            <w:vAlign w:val="bottom"/>
            <w:tcBorders>
              <w:bottom w:val="single" w:sz="8" w:color="auto"/>
            </w:tcBorders>
          </w:tcPr>
          <w:p>
            <w:pPr>
              <w:spacing w:after="0"/>
              <w:rPr>
                <w:sz w:val="20"/>
                <w:szCs w:val="20"/>
                <w:color w:val="auto"/>
              </w:rPr>
            </w:pPr>
            <w:r>
              <w:rPr>
                <w:rFonts w:ascii="Calibri" w:cs="Calibri" w:eastAsia="Calibri" w:hAnsi="Calibri"/>
                <w:sz w:val="20"/>
                <w:szCs w:val="20"/>
                <w:color w:val="auto"/>
              </w:rPr>
              <w:t>_/s/ Naji Gehchan_________________________</w:t>
            </w:r>
          </w:p>
        </w:tc>
        <w:tc>
          <w:tcPr>
            <w:tcW w:w="1600" w:type="dxa"/>
            <w:vAlign w:val="bottom"/>
          </w:tcPr>
          <w:p>
            <w:pPr>
              <w:spacing w:after="0"/>
              <w:rPr>
                <w:sz w:val="21"/>
                <w:szCs w:val="21"/>
                <w:color w:val="auto"/>
              </w:rPr>
            </w:pPr>
          </w:p>
        </w:tc>
        <w:tc>
          <w:tcPr>
            <w:tcW w:w="4020" w:type="dxa"/>
            <w:vAlign w:val="bottom"/>
            <w:tcBorders>
              <w:bottom w:val="single" w:sz="8" w:color="auto"/>
            </w:tcBorders>
          </w:tcPr>
          <w:p>
            <w:pPr>
              <w:spacing w:after="0"/>
              <w:rPr>
                <w:sz w:val="20"/>
                <w:szCs w:val="20"/>
                <w:color w:val="auto"/>
              </w:rPr>
            </w:pPr>
            <w:r>
              <w:rPr>
                <w:rFonts w:ascii="Calibri" w:cs="Calibri" w:eastAsia="Calibri" w:hAnsi="Calibri"/>
                <w:sz w:val="20"/>
                <w:szCs w:val="20"/>
                <w:color w:val="auto"/>
              </w:rPr>
              <w:t>_____01/03/2025_________________________</w:t>
            </w:r>
          </w:p>
        </w:tc>
        <w:tc>
          <w:tcPr>
            <w:tcW w:w="1500" w:type="dxa"/>
            <w:vAlign w:val="bottom"/>
          </w:tcPr>
          <w:p>
            <w:pPr>
              <w:spacing w:after="0"/>
              <w:rPr>
                <w:sz w:val="21"/>
                <w:szCs w:val="21"/>
                <w:color w:val="auto"/>
              </w:rPr>
            </w:pPr>
          </w:p>
        </w:tc>
      </w:tr>
      <w:tr>
        <w:trPr>
          <w:trHeight w:val="258"/>
        </w:trPr>
        <w:tc>
          <w:tcPr>
            <w:tcW w:w="120" w:type="dxa"/>
            <w:vAlign w:val="bottom"/>
          </w:tcPr>
          <w:p>
            <w:pPr>
              <w:spacing w:after="0"/>
              <w:rPr>
                <w:sz w:val="22"/>
                <w:szCs w:val="22"/>
                <w:color w:val="auto"/>
              </w:rPr>
            </w:pPr>
          </w:p>
        </w:tc>
        <w:tc>
          <w:tcPr>
            <w:tcW w:w="4000" w:type="dxa"/>
            <w:vAlign w:val="bottom"/>
          </w:tcPr>
          <w:p>
            <w:pPr>
              <w:spacing w:after="0"/>
              <w:rPr>
                <w:sz w:val="20"/>
                <w:szCs w:val="20"/>
                <w:color w:val="auto"/>
              </w:rPr>
            </w:pPr>
            <w:r>
              <w:rPr>
                <w:rFonts w:ascii="Calibri" w:cs="Calibri" w:eastAsia="Calibri" w:hAnsi="Calibri"/>
                <w:sz w:val="20"/>
                <w:szCs w:val="20"/>
                <w:color w:val="auto"/>
              </w:rPr>
              <w:t>Naji Gehchan</w:t>
            </w:r>
          </w:p>
        </w:tc>
        <w:tc>
          <w:tcPr>
            <w:tcW w:w="1600" w:type="dxa"/>
            <w:vAlign w:val="bottom"/>
          </w:tcPr>
          <w:p>
            <w:pPr>
              <w:spacing w:after="0"/>
              <w:rPr>
                <w:sz w:val="22"/>
                <w:szCs w:val="22"/>
                <w:color w:val="auto"/>
              </w:rPr>
            </w:pPr>
          </w:p>
        </w:tc>
        <w:tc>
          <w:tcPr>
            <w:tcW w:w="5520" w:type="dxa"/>
            <w:vAlign w:val="bottom"/>
            <w:gridSpan w:val="2"/>
          </w:tcPr>
          <w:p>
            <w:pPr>
              <w:spacing w:after="0"/>
              <w:rPr>
                <w:sz w:val="20"/>
                <w:szCs w:val="20"/>
                <w:color w:val="auto"/>
              </w:rPr>
            </w:pPr>
            <w:r>
              <w:rPr>
                <w:rFonts w:ascii="Calibri" w:cs="Calibri" w:eastAsia="Calibri" w:hAnsi="Calibri"/>
                <w:sz w:val="20"/>
                <w:szCs w:val="20"/>
                <w:color w:val="auto"/>
              </w:rPr>
              <w:t>Date</w:t>
            </w:r>
          </w:p>
        </w:tc>
      </w:tr>
      <w:tr>
        <w:trPr>
          <w:trHeight w:val="675"/>
        </w:trPr>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20"/>
                <w:szCs w:val="20"/>
                <w:color w:val="auto"/>
              </w:rPr>
              <w:t>8</w:t>
            </w:r>
          </w:p>
        </w:tc>
        <w:tc>
          <w:tcPr>
            <w:tcW w:w="40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390"/>
        </w:trPr>
        <w:tc>
          <w:tcPr>
            <w:tcW w:w="1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6" w:name="page197"/>
    <w:bookmarkEnd w:id="196"/>
    <w:p>
      <w:pPr>
        <w:jc w:val="center"/>
        <w:ind w:right="19"/>
        <w:spacing w:after="0"/>
        <w:rPr>
          <w:sz w:val="20"/>
          <w:szCs w:val="20"/>
          <w:color w:val="auto"/>
        </w:rPr>
      </w:pPr>
      <w:r>
        <w:rPr>
          <w:rFonts w:ascii="Calibri" w:cs="Calibri" w:eastAsia="Calibri" w:hAnsi="Calibri"/>
          <w:sz w:val="20"/>
          <w:szCs w:val="20"/>
          <w:b w:val="1"/>
          <w:bCs w:val="1"/>
          <w:color w:val="auto"/>
        </w:rPr>
        <w:t>Exhibit A</w:t>
      </w:r>
    </w:p>
    <w:p>
      <w:pPr>
        <w:spacing w:after="0" w:line="24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Form of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1036955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2" w:right="1440" w:bottom="1440" w:gutter="0" w:footer="0" w:header="0"/>
        </w:sectPr>
      </w:pPr>
    </w:p>
    <w:bookmarkStart w:id="197" w:name="page198"/>
    <w:bookmarkEnd w:id="1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499745</wp:posOffset>
            </wp:positionH>
            <wp:positionV relativeFrom="page">
              <wp:posOffset>1212215</wp:posOffset>
            </wp:positionV>
            <wp:extent cx="1508760" cy="4718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alibri" w:cs="Calibri" w:eastAsia="Calibri" w:hAnsi="Calibri"/>
          <w:sz w:val="20"/>
          <w:szCs w:val="20"/>
          <w:color w:val="auto"/>
        </w:rPr>
        <w:t>[Date]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Naji Gehchan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Via email</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Dear Naji:</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This leter sets forth the separaton and general release agreement (the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between you and Kyverna Therapeutcs, Inc.</w:t>
      </w:r>
    </w:p>
    <w:p>
      <w:pPr>
        <w:spacing w:after="0" w:line="238" w:lineRule="auto"/>
        <w:rPr>
          <w:sz w:val="20"/>
          <w:szCs w:val="20"/>
          <w:color w:val="auto"/>
        </w:rPr>
      </w:pPr>
      <w:r>
        <w:rPr>
          <w:rFonts w:ascii="Calibri" w:cs="Calibri" w:eastAsia="Calibri" w:hAnsi="Calibri"/>
          <w:sz w:val="20"/>
          <w:szCs w:val="20"/>
          <w:color w:val="auto"/>
        </w:rPr>
        <w:t>(the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 in connecton with your terminaton of employment with the Company.</w:t>
      </w:r>
    </w:p>
    <w:p>
      <w:pPr>
        <w:spacing w:after="0" w:line="228"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0"/>
          <w:szCs w:val="20"/>
          <w:b w:val="1"/>
          <w:bCs w:val="1"/>
          <w:color w:val="auto"/>
        </w:rPr>
        <w:t>1.SEPARATION</w:t>
      </w:r>
      <w:r>
        <w:rPr>
          <w:rFonts w:ascii="Calibri" w:cs="Calibri" w:eastAsia="Calibri" w:hAnsi="Calibri"/>
          <w:sz w:val="20"/>
          <w:szCs w:val="20"/>
          <w:color w:val="auto"/>
        </w:rPr>
        <w:t>. Your last day of work with the Company and your employment terminaton date was [</w:t>
      </w:r>
      <w:r>
        <w:rPr>
          <w:rFonts w:ascii="Arial" w:cs="Arial" w:eastAsia="Arial" w:hAnsi="Arial"/>
          <w:sz w:val="20"/>
          <w:szCs w:val="20"/>
          <w:color w:val="auto"/>
        </w:rPr>
        <w:t>●</w:t>
      </w:r>
      <w:r>
        <w:rPr>
          <w:rFonts w:ascii="Calibri" w:cs="Calibri" w:eastAsia="Calibri" w:hAnsi="Calibri"/>
          <w:sz w:val="20"/>
          <w:szCs w:val="20"/>
          <w:color w:val="auto"/>
        </w:rPr>
        <w:t>] (the “</w:t>
      </w:r>
      <w:r>
        <w:rPr>
          <w:rFonts w:ascii="Calibri" w:cs="Calibri" w:eastAsia="Calibri" w:hAnsi="Calibri"/>
          <w:sz w:val="20"/>
          <w:szCs w:val="20"/>
          <w:b w:val="1"/>
          <w:bCs w:val="1"/>
          <w:color w:val="auto"/>
        </w:rPr>
        <w:t>Separaton Date</w:t>
      </w:r>
      <w:r>
        <w:rPr>
          <w:rFonts w:ascii="Calibri" w:cs="Calibri" w:eastAsia="Calibri" w:hAnsi="Calibri"/>
          <w:sz w:val="20"/>
          <w:szCs w:val="20"/>
          <w:color w:val="auto"/>
        </w:rPr>
        <w:t>”) and the partes agree that you resigned, efectve as of the Separaton Date, from (a) all positons that you held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or any of its afliates, including, without limitaton, as an employee, ofcer, manager or director and (b) all fduciary positons (including as a trustee) you held with respect to any employee beneft plans or trusts established by the Company or any afliate, and the partes hereby confrm that your resignaton was not due to any disagreement with the Company relatng to any of the Company’s operatons, policies or practces. You agree to execute any additonal documents consistent with the foregoing resignatons that the Company may reasonably request.</w:t>
      </w:r>
    </w:p>
    <w:p>
      <w:pPr>
        <w:spacing w:after="0" w:line="266"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2.SEVERANCE. </w:t>
      </w:r>
      <w:r>
        <w:rPr>
          <w:rFonts w:ascii="Calibri" w:cs="Calibri" w:eastAsia="Calibri" w:hAnsi="Calibri"/>
          <w:sz w:val="20"/>
          <w:szCs w:val="20"/>
          <w:color w:val="auto"/>
        </w:rPr>
        <w:t>If you tmely sign this Agreement, allow it to become efectve and irrevocable, and comply with your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obligatons under it (collectvely, the “</w:t>
      </w:r>
      <w:r>
        <w:rPr>
          <w:rFonts w:ascii="Calibri" w:cs="Calibri" w:eastAsia="Calibri" w:hAnsi="Calibri"/>
          <w:sz w:val="20"/>
          <w:szCs w:val="20"/>
          <w:b w:val="1"/>
          <w:bCs w:val="1"/>
          <w:color w:val="auto"/>
        </w:rPr>
        <w:t>Preconditons</w:t>
      </w:r>
      <w:r>
        <w:rPr>
          <w:rFonts w:ascii="Calibri" w:cs="Calibri" w:eastAsia="Calibri" w:hAnsi="Calibri"/>
          <w:sz w:val="20"/>
          <w:szCs w:val="20"/>
          <w:color w:val="auto"/>
        </w:rPr>
        <w:t>”), then the Company will provide you with the following severance benefts described in your ofer leter agreement with the Company dated December ___, 2024 (capitalized terms not defned herein shall have the meanings ascribed to them in such ofer leter agreement):</w:t>
      </w:r>
    </w:p>
    <w:p>
      <w:pPr>
        <w:spacing w:after="0" w:line="255" w:lineRule="exact"/>
        <w:rPr>
          <w:sz w:val="20"/>
          <w:szCs w:val="20"/>
          <w:color w:val="auto"/>
        </w:rPr>
      </w:pPr>
    </w:p>
    <w:p>
      <w:pPr>
        <w:jc w:val="both"/>
        <w:ind w:firstLine="1101"/>
        <w:spacing w:after="0" w:line="237" w:lineRule="auto"/>
        <w:tabs>
          <w:tab w:leader="none" w:pos="1586" w:val="left"/>
        </w:tabs>
        <w:numPr>
          <w:ilvl w:val="0"/>
          <w:numId w:val="76"/>
        </w:numPr>
        <w:rPr>
          <w:rFonts w:ascii="Calibri" w:cs="Calibri" w:eastAsia="Calibri" w:hAnsi="Calibri"/>
          <w:sz w:val="20"/>
          <w:szCs w:val="20"/>
          <w:b w:val="1"/>
          <w:bCs w:val="1"/>
          <w:color w:val="auto"/>
        </w:rPr>
      </w:pPr>
      <w:r>
        <w:rPr>
          <w:rFonts w:ascii="Calibri" w:cs="Calibri" w:eastAsia="Calibri" w:hAnsi="Calibri"/>
          <w:sz w:val="20"/>
          <w:szCs w:val="20"/>
          <w:color w:val="auto"/>
        </w:rPr>
        <w:t>An amount equal to 12 months of your then‐current Base Salary, less all applicable withholdings and deductons, paid over such 12‐month period. This amount will be paid in equal installments on the Company’s regular payroll schedule and will be subject to applicable tax withholdings over the period following the date of your terminaton date; provided, however, that no payments will be made prior to the 60th day following your Separaton from Service. On the 60th day following your Separaton from Service, the Company will pay you in a lump sum the severance benefts that you would have received on or prior to such date under the original schedule but for the delay while waitng for the 60th day in compliance with Code Secton 409A and the efectveness of the Release (as defned herein), with the balance to be paid as originally scheduled.</w:t>
      </w:r>
    </w:p>
    <w:p>
      <w:pPr>
        <w:spacing w:after="0" w:line="256" w:lineRule="exact"/>
        <w:rPr>
          <w:rFonts w:ascii="Calibri" w:cs="Calibri" w:eastAsia="Calibri" w:hAnsi="Calibri"/>
          <w:sz w:val="20"/>
          <w:szCs w:val="20"/>
          <w:b w:val="1"/>
          <w:bCs w:val="1"/>
          <w:color w:val="auto"/>
        </w:rPr>
      </w:pPr>
    </w:p>
    <w:p>
      <w:pPr>
        <w:jc w:val="both"/>
        <w:ind w:firstLine="1101"/>
        <w:spacing w:after="0" w:line="236" w:lineRule="auto"/>
        <w:tabs>
          <w:tab w:leader="none" w:pos="1618" w:val="left"/>
        </w:tabs>
        <w:numPr>
          <w:ilvl w:val="0"/>
          <w:numId w:val="76"/>
        </w:numPr>
        <w:rPr>
          <w:rFonts w:ascii="Calibri" w:cs="Calibri" w:eastAsia="Calibri" w:hAnsi="Calibri"/>
          <w:sz w:val="20"/>
          <w:szCs w:val="20"/>
          <w:b w:val="1"/>
          <w:bCs w:val="1"/>
          <w:color w:val="auto"/>
        </w:rPr>
      </w:pPr>
      <w:r>
        <w:rPr>
          <w:rFonts w:ascii="Calibri" w:cs="Calibri" w:eastAsia="Calibri" w:hAnsi="Calibri"/>
          <w:sz w:val="20"/>
          <w:szCs w:val="20"/>
          <w:color w:val="auto"/>
        </w:rPr>
        <w:t>If you tmely elect contnued coverage under COBRA, then the Company shall pay the entre COBRA premiums necessary to contnue your health insurance coverage in efect for yourself and your eligible dependents on the terminaton date untl the earliest of (i) the close of the 12‐month period following the terminaton of your employment, (ii) the expiraton of your eligibility for the contnuaton</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891540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98" w:name="page199"/>
    <w:bookmarkEnd w:id="198"/>
    <w:p>
      <w:pPr>
        <w:spacing w:after="0" w:line="200" w:lineRule="exact"/>
        <w:rPr>
          <w:sz w:val="20"/>
          <w:szCs w:val="20"/>
          <w:color w:val="auto"/>
        </w:rPr>
      </w:pPr>
    </w:p>
    <w:p>
      <w:pPr>
        <w:spacing w:after="0" w:line="244" w:lineRule="exact"/>
        <w:rPr>
          <w:sz w:val="20"/>
          <w:szCs w:val="20"/>
          <w:color w:val="auto"/>
        </w:rPr>
      </w:pPr>
    </w:p>
    <w:p>
      <w:pPr>
        <w:jc w:val="both"/>
        <w:ind w:left="112" w:right="60"/>
        <w:spacing w:after="0" w:line="236" w:lineRule="auto"/>
        <w:rPr>
          <w:sz w:val="20"/>
          <w:szCs w:val="20"/>
          <w:color w:val="auto"/>
        </w:rPr>
      </w:pPr>
      <w:r>
        <w:rPr>
          <w:rFonts w:ascii="Calibri" w:cs="Calibri" w:eastAsia="Calibri" w:hAnsi="Calibri"/>
          <w:sz w:val="20"/>
          <w:szCs w:val="20"/>
          <w:color w:val="auto"/>
        </w:rPr>
        <w:t>coverage under COBRA, and (iii) the date when you become eligible for substantally equivalent health insurance coverage in connecton with new employment. If you become eligible for coverage under another employer’s group health plan or otherwise cease to be eligible for COBRA during the period provided in this clause, you must immediately notfy the Company of such event, and all payments and obligatons under this clause shall cease.</w:t>
      </w:r>
    </w:p>
    <w:p>
      <w:pPr>
        <w:spacing w:after="0" w:line="255" w:lineRule="exact"/>
        <w:rPr>
          <w:sz w:val="20"/>
          <w:szCs w:val="20"/>
          <w:color w:val="auto"/>
        </w:rPr>
      </w:pPr>
    </w:p>
    <w:p>
      <w:pPr>
        <w:jc w:val="both"/>
        <w:ind w:left="112" w:right="80" w:firstLine="1101"/>
        <w:spacing w:after="0" w:line="236" w:lineRule="auto"/>
        <w:tabs>
          <w:tab w:leader="none" w:pos="1530" w:val="left"/>
        </w:tabs>
        <w:numPr>
          <w:ilvl w:val="0"/>
          <w:numId w:val="77"/>
        </w:numPr>
        <w:rPr>
          <w:rFonts w:ascii="Calibri" w:cs="Calibri" w:eastAsia="Calibri" w:hAnsi="Calibri"/>
          <w:sz w:val="20"/>
          <w:szCs w:val="20"/>
          <w:b w:val="1"/>
          <w:bCs w:val="1"/>
          <w:color w:val="auto"/>
        </w:rPr>
      </w:pPr>
      <w:r>
        <w:rPr>
          <w:rFonts w:ascii="Calibri" w:cs="Calibri" w:eastAsia="Calibri" w:hAnsi="Calibri"/>
          <w:sz w:val="20"/>
          <w:szCs w:val="20"/>
          <w:color w:val="auto"/>
        </w:rPr>
        <w:t>If a Change in Control (as defned in the Company’s 2024 Equity Incentve Plan) occurs within three (3) months following the Separaton Date, any service-based vestng requirements with respect to your then outstanding Company stock optons, restricted stock awards, and restricted stock unit awards, if any, shall be deemed fully satsfed and any performance-based vestng requirements with respect to such optons and awards, if any and as applicable, shall be deemed satsfed at target.</w:t>
      </w:r>
      <w:r>
        <w:rPr>
          <w:rFonts w:ascii="Calibri" w:cs="Calibri" w:eastAsia="Calibri" w:hAnsi="Calibri"/>
          <w:sz w:val="13"/>
          <w:szCs w:val="13"/>
          <w:color w:val="auto"/>
        </w:rPr>
        <w:t>1</w:t>
      </w:r>
    </w:p>
    <w:p>
      <w:pPr>
        <w:spacing w:after="0" w:line="268" w:lineRule="exact"/>
        <w:rPr>
          <w:rFonts w:ascii="Calibri" w:cs="Calibri" w:eastAsia="Calibri" w:hAnsi="Calibri"/>
          <w:sz w:val="20"/>
          <w:szCs w:val="20"/>
          <w:b w:val="1"/>
          <w:bCs w:val="1"/>
          <w:color w:val="auto"/>
        </w:rPr>
      </w:pPr>
    </w:p>
    <w:p>
      <w:pPr>
        <w:ind w:left="112" w:right="60" w:firstLine="1101"/>
        <w:spacing w:after="0" w:line="234" w:lineRule="auto"/>
        <w:tabs>
          <w:tab w:leader="none" w:pos="1736" w:val="left"/>
        </w:tabs>
        <w:numPr>
          <w:ilvl w:val="0"/>
          <w:numId w:val="77"/>
        </w:numPr>
        <w:rPr>
          <w:rFonts w:ascii="Calibri" w:cs="Calibri" w:eastAsia="Calibri" w:hAnsi="Calibri"/>
          <w:sz w:val="20"/>
          <w:szCs w:val="20"/>
          <w:b w:val="1"/>
          <w:bCs w:val="1"/>
          <w:color w:val="auto"/>
        </w:rPr>
      </w:pPr>
      <w:r>
        <w:rPr>
          <w:rFonts w:ascii="Calibri" w:cs="Calibri" w:eastAsia="Calibri" w:hAnsi="Calibri"/>
          <w:sz w:val="20"/>
          <w:szCs w:val="20"/>
          <w:color w:val="auto"/>
        </w:rPr>
        <w:t>You are not enttled to or due the severance benefts described above unless you sign and return this Agreement and satsfy the Preconditons.</w:t>
      </w:r>
    </w:p>
    <w:p>
      <w:pPr>
        <w:spacing w:after="0" w:line="253" w:lineRule="exact"/>
        <w:rPr>
          <w:sz w:val="20"/>
          <w:szCs w:val="20"/>
          <w:color w:val="auto"/>
        </w:rPr>
      </w:pPr>
    </w:p>
    <w:p>
      <w:pPr>
        <w:jc w:val="both"/>
        <w:ind w:left="112" w:right="60" w:firstLine="749"/>
        <w:spacing w:after="0" w:line="237" w:lineRule="auto"/>
        <w:rPr>
          <w:sz w:val="20"/>
          <w:szCs w:val="20"/>
          <w:color w:val="auto"/>
        </w:rPr>
      </w:pPr>
      <w:r>
        <w:rPr>
          <w:rFonts w:ascii="Calibri" w:cs="Calibri" w:eastAsia="Calibri" w:hAnsi="Calibri"/>
          <w:sz w:val="20"/>
          <w:szCs w:val="20"/>
          <w:b w:val="1"/>
          <w:bCs w:val="1"/>
          <w:color w:val="auto"/>
        </w:rPr>
        <w:t xml:space="preserve">3.Health Insurance. </w:t>
      </w:r>
      <w:r>
        <w:rPr>
          <w:rFonts w:ascii="Calibri" w:cs="Calibri" w:eastAsia="Calibri" w:hAnsi="Calibri"/>
          <w:sz w:val="20"/>
          <w:szCs w:val="20"/>
          <w:color w:val="auto"/>
        </w:rPr>
        <w:t>Your partcipaton in the Company’s group health insurance plan will end on the last day of the month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 which the Separaton Date occurs. To the extent provided by COBRA or, if applicable, state insurance laws, and by the Company’s current group health insurance policies, you will be eligible to contnue your group health insurance benefts following the Separaton Date, at the Company’s expense as provided under Secton 2(b) above and thereafer at your own expense for such period as applicable law may provide.</w:t>
      </w:r>
    </w:p>
    <w:p>
      <w:pPr>
        <w:spacing w:after="0" w:line="266" w:lineRule="exact"/>
        <w:rPr>
          <w:sz w:val="20"/>
          <w:szCs w:val="20"/>
          <w:color w:val="auto"/>
        </w:rPr>
      </w:pPr>
    </w:p>
    <w:p>
      <w:pPr>
        <w:jc w:val="both"/>
        <w:ind w:left="112" w:right="60" w:firstLine="749"/>
        <w:spacing w:after="0" w:line="236" w:lineRule="auto"/>
        <w:rPr>
          <w:sz w:val="20"/>
          <w:szCs w:val="20"/>
          <w:color w:val="auto"/>
        </w:rPr>
      </w:pPr>
      <w:r>
        <w:rPr>
          <w:rFonts w:ascii="Calibri" w:cs="Calibri" w:eastAsia="Calibri" w:hAnsi="Calibri"/>
          <w:sz w:val="20"/>
          <w:szCs w:val="20"/>
          <w:b w:val="1"/>
          <w:bCs w:val="1"/>
          <w:color w:val="auto"/>
        </w:rPr>
        <w:t xml:space="preserve">4.Stock Options. </w:t>
      </w:r>
      <w:r>
        <w:rPr>
          <w:rFonts w:ascii="Calibri" w:cs="Calibri" w:eastAsia="Calibri" w:hAnsi="Calibri"/>
          <w:sz w:val="20"/>
          <w:szCs w:val="20"/>
          <w:color w:val="auto"/>
        </w:rPr>
        <w:t>Under the terms of your stock opton agreement and the applicable plan documents, vestng of your stock</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optons will cease as of the Separaton Date. Except as provided in Secton 2(c) above, your right to exercise any vested shares, and all other rights and obligatons with respect to your stock optons(s) and all other equity compensaton, will be as set forth in the applicable equity award agreement, grant notce and applicable plan documents.</w:t>
      </w:r>
    </w:p>
    <w:p>
      <w:pPr>
        <w:spacing w:after="0" w:line="268" w:lineRule="exact"/>
        <w:rPr>
          <w:sz w:val="20"/>
          <w:szCs w:val="20"/>
          <w:color w:val="auto"/>
        </w:rPr>
      </w:pPr>
    </w:p>
    <w:p>
      <w:pPr>
        <w:jc w:val="both"/>
        <w:ind w:left="112" w:right="60" w:firstLine="749"/>
        <w:spacing w:after="0" w:line="236" w:lineRule="auto"/>
        <w:rPr>
          <w:sz w:val="20"/>
          <w:szCs w:val="20"/>
          <w:color w:val="auto"/>
        </w:rPr>
      </w:pPr>
      <w:r>
        <w:rPr>
          <w:rFonts w:ascii="Calibri" w:cs="Calibri" w:eastAsia="Calibri" w:hAnsi="Calibri"/>
          <w:sz w:val="20"/>
          <w:szCs w:val="20"/>
          <w:b w:val="1"/>
          <w:bCs w:val="1"/>
          <w:color w:val="auto"/>
        </w:rPr>
        <w:t xml:space="preserve">5.Other Compensation or Benefits. </w:t>
      </w:r>
      <w:r>
        <w:rPr>
          <w:rFonts w:ascii="Calibri" w:cs="Calibri" w:eastAsia="Calibri" w:hAnsi="Calibri"/>
          <w:sz w:val="20"/>
          <w:szCs w:val="20"/>
          <w:color w:val="auto"/>
        </w:rPr>
        <w:t>You acknowledge that, except as expressly provided in this Agreement, you have not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earned and will not receive from the Company any additonal compensaton (including base salary, bonus, incentve compensaton, or equity), severance, or benefts before or afer the Separaton Date, with the excepton of any vested right you may have under the express terms of a writen ERISA-qualifed beneft plan (e.g., 401(k) account) or any vested stock optons.</w:t>
      </w:r>
    </w:p>
    <w:p>
      <w:pPr>
        <w:spacing w:after="0" w:line="282" w:lineRule="exact"/>
        <w:rPr>
          <w:sz w:val="20"/>
          <w:szCs w:val="20"/>
          <w:color w:val="auto"/>
        </w:rPr>
      </w:pPr>
    </w:p>
    <w:p>
      <w:pPr>
        <w:jc w:val="both"/>
        <w:ind w:left="112" w:right="60" w:firstLine="749"/>
        <w:spacing w:after="0" w:line="236" w:lineRule="auto"/>
        <w:rPr>
          <w:sz w:val="20"/>
          <w:szCs w:val="20"/>
          <w:color w:val="auto"/>
        </w:rPr>
      </w:pPr>
      <w:r>
        <w:rPr>
          <w:rFonts w:ascii="Calibri" w:cs="Calibri" w:eastAsia="Calibri" w:hAnsi="Calibri"/>
          <w:sz w:val="20"/>
          <w:szCs w:val="20"/>
          <w:b w:val="1"/>
          <w:bCs w:val="1"/>
          <w:color w:val="auto"/>
        </w:rPr>
        <w:t xml:space="preserve">6.Expense Reimbursements. </w:t>
      </w:r>
      <w:r>
        <w:rPr>
          <w:rFonts w:ascii="Calibri" w:cs="Calibri" w:eastAsia="Calibri" w:hAnsi="Calibri"/>
          <w:sz w:val="20"/>
          <w:szCs w:val="20"/>
          <w:color w:val="auto"/>
        </w:rPr>
        <w:t>You agree that you have submited your fnal documented expense reimbursement statement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refectng all business expenses you incurred through the Separaton Date, if any, for which you seek reimbursement. The Company will reimburse you for these expenses pursuant to its regular business practce.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76835</wp:posOffset>
            </wp:positionV>
            <wp:extent cx="1688465" cy="508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59" w:lineRule="exact"/>
        <w:rPr>
          <w:sz w:val="20"/>
          <w:szCs w:val="20"/>
          <w:color w:val="auto"/>
        </w:rPr>
      </w:pPr>
    </w:p>
    <w:p>
      <w:pPr>
        <w:ind w:left="-8" w:firstLine="8"/>
        <w:spacing w:after="0"/>
        <w:tabs>
          <w:tab w:leader="none" w:pos="93" w:val="left"/>
        </w:tabs>
        <w:numPr>
          <w:ilvl w:val="0"/>
          <w:numId w:val="78"/>
        </w:numPr>
        <w:rPr>
          <w:rFonts w:ascii="Calibri" w:cs="Calibri" w:eastAsia="Calibri" w:hAnsi="Calibri"/>
          <w:sz w:val="24"/>
          <w:szCs w:val="24"/>
          <w:color w:val="auto"/>
          <w:vertAlign w:val="superscript"/>
        </w:rPr>
      </w:pPr>
      <w:r>
        <w:rPr>
          <w:rFonts w:ascii="Calibri" w:cs="Calibri" w:eastAsia="Calibri" w:hAnsi="Calibri"/>
          <w:sz w:val="18"/>
          <w:szCs w:val="18"/>
          <w:color w:val="auto"/>
        </w:rPr>
        <w:t xml:space="preserve">If </w:t>
      </w:r>
      <w:r>
        <w:rPr>
          <w:rFonts w:ascii="Calibri" w:cs="Calibri" w:eastAsia="Calibri" w:hAnsi="Calibri"/>
          <w:sz w:val="19"/>
          <w:szCs w:val="19"/>
          <w:color w:val="auto"/>
        </w:rPr>
        <w:t>the Separaton from Service occurs within three (3) months prior to or upon or within twelve (12) months following a Change in</w:t>
      </w:r>
      <w:r>
        <w:rPr>
          <w:rFonts w:ascii="Calibri" w:cs="Calibri" w:eastAsia="Calibri" w:hAnsi="Calibri"/>
          <w:sz w:val="18"/>
          <w:szCs w:val="18"/>
          <w:color w:val="auto"/>
        </w:rPr>
        <w:t xml:space="preserve"> </w:t>
      </w:r>
      <w:r>
        <w:rPr>
          <w:rFonts w:ascii="Calibri" w:cs="Calibri" w:eastAsia="Calibri" w:hAnsi="Calibri"/>
          <w:sz w:val="19"/>
          <w:szCs w:val="19"/>
          <w:color w:val="auto"/>
        </w:rPr>
        <w:t>Control (as defned in the Plan), this subsecton shall provide that “any service-based vestng requirements with respect to your then outstanding Company stock optons, restricted stock awards, and restricted stock unit awards, if any, shall be deemed fully satsfed and any performance-based vestng requirements with respect to such optons and awards, if any and as applicable, shall be deemed satsfed at target.”</w:t>
      </w:r>
    </w:p>
    <w:p>
      <w:pPr>
        <w:spacing w:after="0" w:line="217" w:lineRule="exact"/>
        <w:rPr>
          <w:sz w:val="20"/>
          <w:szCs w:val="20"/>
          <w:color w:val="auto"/>
        </w:rPr>
      </w:pPr>
    </w:p>
    <w:p>
      <w:pPr>
        <w:jc w:val="center"/>
        <w:ind w:right="-51"/>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890905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40" w:right="399" w:bottom="1440" w:gutter="0" w:footer="0" w:header="0"/>
        </w:sectPr>
      </w:pPr>
    </w:p>
    <w:bookmarkStart w:id="199" w:name="page200"/>
    <w:bookmarkEnd w:id="199"/>
    <w:p>
      <w:pPr>
        <w:spacing w:after="0" w:line="200" w:lineRule="exact"/>
        <w:rPr>
          <w:sz w:val="20"/>
          <w:szCs w:val="20"/>
          <w:color w:val="auto"/>
        </w:rPr>
      </w:pPr>
    </w:p>
    <w:p>
      <w:pPr>
        <w:spacing w:after="0" w:line="235" w:lineRule="exact"/>
        <w:rPr>
          <w:sz w:val="20"/>
          <w:szCs w:val="20"/>
          <w:color w:val="auto"/>
        </w:rPr>
      </w:pPr>
    </w:p>
    <w:p>
      <w:pPr>
        <w:ind w:left="1232" w:hanging="378"/>
        <w:spacing w:after="0"/>
        <w:tabs>
          <w:tab w:leader="none" w:pos="1232" w:val="left"/>
        </w:tabs>
        <w:numPr>
          <w:ilvl w:val="0"/>
          <w:numId w:val="7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Release of Claims.</w:t>
      </w:r>
    </w:p>
    <w:p>
      <w:pPr>
        <w:spacing w:after="0" w:line="265" w:lineRule="exact"/>
        <w:rPr>
          <w:rFonts w:ascii="Calibri" w:cs="Calibri" w:eastAsia="Calibri" w:hAnsi="Calibri"/>
          <w:sz w:val="20"/>
          <w:szCs w:val="20"/>
          <w:b w:val="1"/>
          <w:bCs w:val="1"/>
          <w:color w:val="auto"/>
        </w:rPr>
      </w:pPr>
    </w:p>
    <w:p>
      <w:pPr>
        <w:jc w:val="both"/>
        <w:ind w:left="112" w:firstLine="1490"/>
        <w:spacing w:after="0" w:line="237" w:lineRule="auto"/>
        <w:tabs>
          <w:tab w:leader="none" w:pos="2039" w:val="left"/>
        </w:tabs>
        <w:numPr>
          <w:ilvl w:val="1"/>
          <w:numId w:val="7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General Release of Claims. </w:t>
      </w:r>
      <w:r>
        <w:rPr>
          <w:rFonts w:ascii="Calibri" w:cs="Calibri" w:eastAsia="Calibri" w:hAnsi="Calibri"/>
          <w:sz w:val="20"/>
          <w:szCs w:val="20"/>
          <w:color w:val="auto"/>
        </w:rPr>
        <w:t>In exchange for the consideraton provided to you under this Agreement to which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you would not otherwise be enttled, you hereby generally and completely release the Company, and its afliated, related, parent and subsidiary enttes, and its and their current and former directors, ofcers, employees, shareholders, partners, agents, atorneys, predecessors, successors, insurers, afliates, and assigns from any and all claims, liabilites, demands, causes of acton, and obligatons, both known and unknown, arising from or in any way related to events, acts, conduct, or omissions occurring at any tme prior to and including the date you sign this Agreement.</w:t>
      </w:r>
    </w:p>
    <w:p>
      <w:pPr>
        <w:spacing w:after="0" w:line="281" w:lineRule="exact"/>
        <w:rPr>
          <w:rFonts w:ascii="Calibri" w:cs="Calibri" w:eastAsia="Calibri" w:hAnsi="Calibri"/>
          <w:sz w:val="20"/>
          <w:szCs w:val="20"/>
          <w:b w:val="1"/>
          <w:bCs w:val="1"/>
          <w:color w:val="auto"/>
        </w:rPr>
      </w:pPr>
    </w:p>
    <w:p>
      <w:pPr>
        <w:jc w:val="both"/>
        <w:ind w:left="112" w:firstLine="1490"/>
        <w:spacing w:after="0"/>
        <w:tabs>
          <w:tab w:leader="none" w:pos="2039" w:val="left"/>
        </w:tabs>
        <w:numPr>
          <w:ilvl w:val="1"/>
          <w:numId w:val="7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Scope of Release. </w:t>
      </w:r>
      <w:r>
        <w:rPr>
          <w:rFonts w:ascii="Calibri" w:cs="Calibri" w:eastAsia="Calibri" w:hAnsi="Calibri"/>
          <w:sz w:val="20"/>
          <w:szCs w:val="20"/>
          <w:color w:val="auto"/>
        </w:rPr>
        <w:t>This general release includes, but is not limited to: (i) all claims arising from or in any way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related to your employment with the Company or the terminaton of that employment; (ii) all claims related to your compensaton or benefts from the Company, including salary, bonuses, commissions, vacaton pay, expense reimbursements, severance pay, fringe benefts, stock, stock optons, or any other ownership, equity, or profts interests in the Company; (iii) all claims for breach of contract, wrongful terminaton, and breach of the implied covenant of good faith and fair dealing; (iv) all tort claims, including claims for fraud, defamaton, emotonal distress, and discharge in violaton of public policy; and (v) all federal, state, and local statutory claims, including claims for discriminaton, harassment, retaliaton, atorneys’ fees, or other claims arising under the federal Civil Rights Act of 1964 (as amended), the federal Americans with Disabilites Act of 1990, the California Labor Code (as amended), the California Family Rights Act, the Age Discriminaton in Employment Act (“</w:t>
      </w:r>
      <w:r>
        <w:rPr>
          <w:rFonts w:ascii="Calibri" w:cs="Calibri" w:eastAsia="Calibri" w:hAnsi="Calibri"/>
          <w:sz w:val="20"/>
          <w:szCs w:val="20"/>
          <w:b w:val="1"/>
          <w:bCs w:val="1"/>
          <w:color w:val="auto"/>
        </w:rPr>
        <w:t>ADEA</w:t>
      </w:r>
      <w:r>
        <w:rPr>
          <w:rFonts w:ascii="Calibri" w:cs="Calibri" w:eastAsia="Calibri" w:hAnsi="Calibri"/>
          <w:sz w:val="20"/>
          <w:szCs w:val="20"/>
          <w:color w:val="auto"/>
        </w:rPr>
        <w:t xml:space="preserve">”) and the California Fair Employment and Housing Act (as amended). </w:t>
      </w:r>
      <w:r>
        <w:rPr>
          <w:rFonts w:ascii="Calibri" w:cs="Calibri" w:eastAsia="Calibri" w:hAnsi="Calibri"/>
          <w:sz w:val="20"/>
          <w:szCs w:val="20"/>
          <w:b w:val="1"/>
          <w:bCs w:val="1"/>
          <w:color w:val="auto"/>
        </w:rPr>
        <w:t>You acknowledge that you have been advised, as required by California Government Code Secton 12964.5(b)(4),</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 xml:space="preserve">that you have the right to consult an atorney regarding this Agreement and that you were given a reasonable tme period (of at least twenty-one (21) days) in which to do so. </w:t>
      </w:r>
      <w:r>
        <w:rPr>
          <w:rFonts w:ascii="Calibri" w:cs="Calibri" w:eastAsia="Calibri" w:hAnsi="Calibri"/>
          <w:sz w:val="20"/>
          <w:szCs w:val="20"/>
          <w:color w:val="auto"/>
        </w:rPr>
        <w:t>You further acknowledge and agree that, in the event you sign this Agreement prior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end of the tme period provided by the Company, your decision to accept such shortening of tme is knowing and voluntary and is not induced by the Company through fraud, misrepresentaton, or a threat to withdraw or alter the ofer prior to the expiraton of the reasonable tme period, or by providing diferent terms to employees who sign such an agreement prior to the expiraton of the tme period.</w:t>
      </w:r>
    </w:p>
    <w:p>
      <w:pPr>
        <w:spacing w:after="0" w:line="200" w:lineRule="exact"/>
        <w:rPr>
          <w:rFonts w:ascii="Calibri" w:cs="Calibri" w:eastAsia="Calibri" w:hAnsi="Calibri"/>
          <w:sz w:val="20"/>
          <w:szCs w:val="20"/>
          <w:b w:val="1"/>
          <w:bCs w:val="1"/>
          <w:color w:val="auto"/>
        </w:rPr>
      </w:pPr>
    </w:p>
    <w:p>
      <w:pPr>
        <w:spacing w:after="0" w:line="282" w:lineRule="exact"/>
        <w:rPr>
          <w:rFonts w:ascii="Calibri" w:cs="Calibri" w:eastAsia="Calibri" w:hAnsi="Calibri"/>
          <w:sz w:val="20"/>
          <w:szCs w:val="20"/>
          <w:b w:val="1"/>
          <w:bCs w:val="1"/>
          <w:color w:val="auto"/>
        </w:rPr>
      </w:pPr>
    </w:p>
    <w:p>
      <w:pPr>
        <w:jc w:val="both"/>
        <w:ind w:left="112" w:firstLine="1490"/>
        <w:spacing w:after="0" w:line="237" w:lineRule="auto"/>
        <w:tabs>
          <w:tab w:leader="none" w:pos="2039" w:val="left"/>
        </w:tabs>
        <w:numPr>
          <w:ilvl w:val="1"/>
          <w:numId w:val="7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ADEA Release. </w:t>
      </w:r>
      <w:r>
        <w:rPr>
          <w:rFonts w:ascii="Calibri" w:cs="Calibri" w:eastAsia="Calibri" w:hAnsi="Calibri"/>
          <w:sz w:val="20"/>
          <w:szCs w:val="20"/>
          <w:color w:val="auto"/>
        </w:rPr>
        <w:t>You acknowledge that you are knowingly and voluntarily waiving and releasing any rights you</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have under the ADEA, and that the consideraton given for the waiver and releases you have given in this Agreement is in additon to anything of value to which you were already enttled. You further acknowledge that you have been advised, as required by the ADEA, that: (a) your waiver and release does not apply to any rights or claims arising afer the date you sign this Agreement; (b) you should consult with an atorney prior to signing this Agreement (although you may choose voluntarily not to do so); (c) you have at least [twenty-one (21)]</w:t>
      </w:r>
      <w:r>
        <w:rPr>
          <w:rFonts w:ascii="Calibri" w:cs="Calibri" w:eastAsia="Calibri" w:hAnsi="Calibri"/>
          <w:sz w:val="13"/>
          <w:szCs w:val="13"/>
          <w:color w:val="auto"/>
        </w:rPr>
        <w:t>2</w:t>
      </w:r>
      <w:r>
        <w:rPr>
          <w:rFonts w:ascii="Calibri" w:cs="Calibri" w:eastAsia="Calibri" w:hAnsi="Calibri"/>
          <w:sz w:val="20"/>
          <w:szCs w:val="20"/>
          <w:color w:val="auto"/>
        </w:rPr>
        <w:t xml:space="preserve"> days to consider this Agreement (although you may choose voluntarily to sign it sooner); (d) you have seven (7) days following the date you sign this Agreement to revoke this Agreement (in a writen revocaton sent to me); and (e) this Agreement will not be efectve untl the date upon which the revocaton period has expired, which will be the eighth day afer you sign this Agreement provided that you do not revoke it.</w:t>
      </w:r>
    </w:p>
    <w:p>
      <w:pPr>
        <w:spacing w:after="0" w:line="264" w:lineRule="exact"/>
        <w:rPr>
          <w:rFonts w:ascii="Calibri" w:cs="Calibri" w:eastAsia="Calibri" w:hAnsi="Calibri"/>
          <w:sz w:val="20"/>
          <w:szCs w:val="20"/>
          <w:b w:val="1"/>
          <w:bCs w:val="1"/>
          <w:color w:val="auto"/>
        </w:rPr>
      </w:pPr>
    </w:p>
    <w:p>
      <w:pPr>
        <w:ind w:left="2032" w:hanging="430"/>
        <w:spacing w:after="0"/>
        <w:tabs>
          <w:tab w:leader="none" w:pos="2032" w:val="left"/>
        </w:tabs>
        <w:numPr>
          <w:ilvl w:val="1"/>
          <w:numId w:val="7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Secton 1542 Waiver. </w:t>
      </w:r>
      <w:r>
        <w:rPr>
          <w:rFonts w:ascii="Calibri" w:cs="Calibri" w:eastAsia="Calibri" w:hAnsi="Calibri"/>
          <w:sz w:val="20"/>
          <w:szCs w:val="20"/>
          <w:color w:val="auto"/>
        </w:rPr>
        <w:t>In giving the release herein, which includes claims which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76835</wp:posOffset>
            </wp:positionV>
            <wp:extent cx="1688465" cy="508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96" w:lineRule="exact"/>
        <w:rPr>
          <w:sz w:val="20"/>
          <w:szCs w:val="20"/>
          <w:color w:val="auto"/>
        </w:rPr>
      </w:pPr>
    </w:p>
    <w:p>
      <w:pPr>
        <w:ind w:left="92" w:hanging="92"/>
        <w:spacing w:after="0"/>
        <w:tabs>
          <w:tab w:leader="none" w:pos="92" w:val="left"/>
        </w:tabs>
        <w:numPr>
          <w:ilvl w:val="0"/>
          <w:numId w:val="80"/>
        </w:numPr>
        <w:rPr>
          <w:rFonts w:ascii="Calibri" w:cs="Calibri" w:eastAsia="Calibri" w:hAnsi="Calibri"/>
          <w:sz w:val="24"/>
          <w:szCs w:val="24"/>
          <w:color w:val="auto"/>
          <w:vertAlign w:val="superscript"/>
        </w:rPr>
      </w:pPr>
      <w:r>
        <w:rPr>
          <w:rFonts w:ascii="Calibri" w:cs="Calibri" w:eastAsia="Calibri" w:hAnsi="Calibri"/>
          <w:sz w:val="18"/>
          <w:szCs w:val="18"/>
          <w:color w:val="auto"/>
        </w:rPr>
        <w:t>To be 45 days if so required by applicable law</w:t>
      </w:r>
    </w:p>
    <w:p>
      <w:pPr>
        <w:jc w:val="center"/>
        <w:ind w:right="-111"/>
        <w:spacing w:after="0" w:line="229" w:lineRule="auto"/>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891540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440" w:right="459" w:bottom="1440" w:gutter="0" w:footer="0" w:header="0"/>
        </w:sectPr>
      </w:pPr>
    </w:p>
    <w:bookmarkStart w:id="200" w:name="page201"/>
    <w:bookmarkEnd w:id="200"/>
    <w:p>
      <w:pPr>
        <w:spacing w:after="0" w:line="200" w:lineRule="exact"/>
        <w:rPr>
          <w:sz w:val="20"/>
          <w:szCs w:val="20"/>
          <w:color w:val="auto"/>
        </w:rPr>
      </w:pPr>
    </w:p>
    <w:p>
      <w:pPr>
        <w:spacing w:after="0" w:line="24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be unknown to you at present, you acknowledge that you have read and understand Secton 1542 of the California Civil Code, which reads as follows:</w:t>
      </w:r>
    </w:p>
    <w:p>
      <w:pPr>
        <w:spacing w:after="0" w:line="266" w:lineRule="exact"/>
        <w:rPr>
          <w:sz w:val="20"/>
          <w:szCs w:val="20"/>
          <w:color w:val="auto"/>
        </w:rPr>
      </w:pPr>
    </w:p>
    <w:p>
      <w:pPr>
        <w:jc w:val="both"/>
        <w:ind w:left="740" w:right="760"/>
        <w:spacing w:after="0" w:line="236" w:lineRule="auto"/>
        <w:rPr>
          <w:sz w:val="20"/>
          <w:szCs w:val="20"/>
          <w:color w:val="auto"/>
        </w:rPr>
      </w:pPr>
      <w:r>
        <w:rPr>
          <w:rFonts w:ascii="Calibri" w:cs="Calibri" w:eastAsia="Calibri" w:hAnsi="Calibri"/>
          <w:sz w:val="20"/>
          <w:szCs w:val="20"/>
          <w:b w:val="1"/>
          <w:bCs w:val="1"/>
          <w:color w:val="auto"/>
        </w:rPr>
        <w:t>“A general release does not extend to claims that the creditor or releasing party does not know or suspect to exist in his or her favor at the tme of executng the release and that, if known by him or her, would have materially afected his or her setlement with the debtor or released party.”</w:t>
      </w:r>
    </w:p>
    <w:p>
      <w:pPr>
        <w:spacing w:after="0" w:line="252"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You hereby expressly waive and relinquish all rights and benefts under that secton and any law of any other jurisdicton of similar efect with respect to your release of claims herein, including but not limited to your release of unknown claims.</w:t>
      </w:r>
    </w:p>
    <w:p>
      <w:pPr>
        <w:spacing w:after="0" w:line="226" w:lineRule="exact"/>
        <w:rPr>
          <w:sz w:val="20"/>
          <w:szCs w:val="20"/>
          <w:color w:val="auto"/>
        </w:rPr>
      </w:pPr>
    </w:p>
    <w:p>
      <w:pPr>
        <w:jc w:val="both"/>
        <w:ind w:firstLine="1490"/>
        <w:spacing w:after="0" w:line="237" w:lineRule="auto"/>
        <w:tabs>
          <w:tab w:leader="none" w:pos="1927" w:val="left"/>
        </w:tabs>
        <w:numPr>
          <w:ilvl w:val="0"/>
          <w:numId w:val="8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Exceptons. </w:t>
      </w:r>
      <w:r>
        <w:rPr>
          <w:rFonts w:ascii="Calibri" w:cs="Calibri" w:eastAsia="Calibri" w:hAnsi="Calibri"/>
          <w:sz w:val="20"/>
          <w:szCs w:val="20"/>
          <w:color w:val="auto"/>
        </w:rPr>
        <w:t>Notwithstanding the foregoing, you are not releasing the Company hereby from: (i) any obligaton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indemnify you pursuant to the Certfcate of Incorporaton and Bylaws of the Company, any valid fully executed indemnifcaton agreement with the Company, applicable law, or applicable directors and ofcers liability insurance; (ii) any claims that cannot be waived by law; (iii) any claims for breach of this Agreement; (iv) any claims arising afer you sign this Agreement; (v) any claims arising under this Agreement; and (vi) any claims for unpaid amounts specifed in Secton 5 above.</w:t>
      </w:r>
    </w:p>
    <w:p>
      <w:pPr>
        <w:spacing w:after="0" w:line="252" w:lineRule="exact"/>
        <w:rPr>
          <w:rFonts w:ascii="Calibri" w:cs="Calibri" w:eastAsia="Calibri" w:hAnsi="Calibri"/>
          <w:sz w:val="20"/>
          <w:szCs w:val="20"/>
          <w:b w:val="1"/>
          <w:bCs w:val="1"/>
          <w:color w:val="auto"/>
        </w:rPr>
      </w:pPr>
    </w:p>
    <w:p>
      <w:pPr>
        <w:jc w:val="both"/>
        <w:ind w:firstLine="1490"/>
        <w:spacing w:after="0" w:line="238" w:lineRule="auto"/>
        <w:tabs>
          <w:tab w:leader="none" w:pos="1927" w:val="left"/>
        </w:tabs>
        <w:numPr>
          <w:ilvl w:val="0"/>
          <w:numId w:val="8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Protected Rights. </w:t>
      </w:r>
      <w:r>
        <w:rPr>
          <w:rFonts w:ascii="Calibri" w:cs="Calibri" w:eastAsia="Calibri" w:hAnsi="Calibri"/>
          <w:sz w:val="20"/>
          <w:szCs w:val="20"/>
          <w:color w:val="auto"/>
        </w:rPr>
        <w:t>You understand that nothing in this Agreement limits your ability to fle a charge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complaint with the Equal Employment Opportunity Commission, the Department of Labor, the Natonal Labor Relatons Board, the Occupatonal Safety and Health Administraton, the California Department of Fair Employment and Housing, the Securites and Exchange Commission or any other federal, state or local governmental agency or commission (“</w:t>
      </w:r>
      <w:r>
        <w:rPr>
          <w:rFonts w:ascii="Calibri" w:cs="Calibri" w:eastAsia="Calibri" w:hAnsi="Calibri"/>
          <w:sz w:val="20"/>
          <w:szCs w:val="20"/>
          <w:b w:val="1"/>
          <w:bCs w:val="1"/>
          <w:color w:val="auto"/>
        </w:rPr>
        <w:t>Government Agencies</w:t>
      </w:r>
      <w:r>
        <w:rPr>
          <w:rFonts w:ascii="Calibri" w:cs="Calibri" w:eastAsia="Calibri" w:hAnsi="Calibri"/>
          <w:sz w:val="20"/>
          <w:szCs w:val="20"/>
          <w:color w:val="auto"/>
        </w:rPr>
        <w:t>”). You further understand this Agreement does not limit your ability to communicate with any Government Agencies or otherwise partcipate in any investgaton or proceeding that may be conducted by any Government Agency, including providing documents or other informaton, without notce to the Company. While this Agreement does not limit your right to receive an award for informaton provided to the Securites and Exchange Commission, you understand and agree that, to maximum extent permited by law, you are otherwise waiving any and all rights you may have to individual relief based on any claims that you have released and any rights you have waived by signing this Agreement. Nothing in this Agreement prevents you from discussing or disclosing informaton about unlawful acts in the workplace, such as harassment or discriminaton or any other conduct that you have reason to believe is unlawful.</w:t>
      </w:r>
    </w:p>
    <w:p>
      <w:pPr>
        <w:spacing w:after="0" w:line="266"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0"/>
          <w:szCs w:val="20"/>
          <w:b w:val="1"/>
          <w:bCs w:val="1"/>
          <w:color w:val="auto"/>
        </w:rPr>
        <w:t xml:space="preserve">8.RETURN OF COMPANY PROPERTY. </w:t>
      </w:r>
      <w:r>
        <w:rPr>
          <w:rFonts w:ascii="Calibri" w:cs="Calibri" w:eastAsia="Calibri" w:hAnsi="Calibri"/>
          <w:sz w:val="20"/>
          <w:szCs w:val="20"/>
          <w:color w:val="auto"/>
        </w:rPr>
        <w:t>You represent that you have returned to the Company all Company documents (and 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copies thereof) and other Company property previously in your possession or control, including, but not limited to, Company fles, notes, drawings, records, plans, forecasts, reports, studies, analyses, proposals, agreements, drafs, fnancial and operatonal informaton, research and development informaton, sales and marketng informaton, customer lists, prospect informaton, pipeline reports, sales reports, personnel informaton, specifcatons, code, sofware, databases, computer-recorded informaton, tangible property and equipment (including, but not limited to, computng and electronic devices, mobile telephones, servers), credit cards, entry cards, identfcaton badges and keys; and any materials of any kind which contain or embody any proprietary or confdental informaton of the Company (and all reproductons or embodiments thereof in whole or in part). You represent that you have made a diligent search to locate any such documents, property and informaton. If you have used any personally owned computer or other electronic device, server, or e-mail system to</w:t>
      </w: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890905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01" w:name="page202"/>
    <w:bookmarkEnd w:id="201"/>
    <w:p>
      <w:pPr>
        <w:spacing w:after="0" w:line="200" w:lineRule="exact"/>
        <w:rPr>
          <w:sz w:val="20"/>
          <w:szCs w:val="20"/>
          <w:color w:val="auto"/>
        </w:rPr>
      </w:pPr>
    </w:p>
    <w:p>
      <w:pPr>
        <w:spacing w:after="0" w:line="244"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 xml:space="preserve">receive, store, review, prepare or transmit any Company confdental or proprietary data, materials or informaton, you agree to provide the Company with a computer-useable copy of such informaton and then permanently delete and expunge such Company confdental or proprietary informaton from those systems; and you agree to provide the Company access to your system as requested to verify that the necessary copying and/or deleton is completed. </w:t>
      </w:r>
      <w:r>
        <w:rPr>
          <w:rFonts w:ascii="Calibri" w:cs="Calibri" w:eastAsia="Calibri" w:hAnsi="Calibri"/>
          <w:sz w:val="20"/>
          <w:szCs w:val="20"/>
          <w:b w:val="1"/>
          <w:bCs w:val="1"/>
          <w:color w:val="auto"/>
        </w:rPr>
        <w:t>Your tmely compliance with this paragraph is a</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conditon to your receipt of the benefts provided under this Agreement.</w:t>
      </w:r>
    </w:p>
    <w:p>
      <w:pPr>
        <w:spacing w:after="0" w:line="266"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9.Confidential Information Obligations. </w:t>
      </w:r>
      <w:r>
        <w:rPr>
          <w:rFonts w:ascii="Calibri" w:cs="Calibri" w:eastAsia="Calibri" w:hAnsi="Calibri"/>
          <w:sz w:val="20"/>
          <w:szCs w:val="20"/>
          <w:color w:val="auto"/>
        </w:rPr>
        <w:t>You acknowledge and reafrm your contnuing obligatons under your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 Confdental Informaton and Inventons Assignment Agreement, a copy of which is atached hereto as Exhibit A and incorporated herein by reference.</w:t>
      </w:r>
    </w:p>
    <w:p>
      <w:pPr>
        <w:spacing w:after="0" w:line="265"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0"/>
          <w:szCs w:val="20"/>
          <w:b w:val="1"/>
          <w:bCs w:val="1"/>
          <w:color w:val="auto"/>
        </w:rPr>
        <w:t xml:space="preserve">10.Non-disparagement. </w:t>
      </w:r>
      <w:r>
        <w:rPr>
          <w:rFonts w:ascii="Calibri" w:cs="Calibri" w:eastAsia="Calibri" w:hAnsi="Calibri"/>
          <w:sz w:val="20"/>
          <w:szCs w:val="20"/>
          <w:color w:val="auto"/>
        </w:rPr>
        <w:t>You agree not to disparage the Company, its ofcers, directors, employees, stockholders, parents,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subsidiaries, afliates, and agents, in any manner likely to be harmful to its or their business, business reputaton, or personal reputaton; provided that you may respond accurately and fully to any request for informaton if required by legal process or in connecton with a government investgaton. In additon, nothing in this provision or this Agreement is intended to prohibit or restrain you in any manner from making disclosures protected under the whistleblower provisions of federal or state law or regulaton or other applicable law or regulaton or as set forth in the secton of this Agreement enttled “Protected Rights.” In response to any reference request from a prospectve employer, the Company will only confrm your dates of employment and positons held. The Company agrees not to disparage you in any manner likely to be harmful to your business, business reputaton, or personal reputaton; provided that the Company may respond accurately and fully to any request for informaton if required by legal process or in connecton with a government investgaton.</w:t>
      </w:r>
    </w:p>
    <w:p>
      <w:pPr>
        <w:spacing w:after="0" w:line="266" w:lineRule="exact"/>
        <w:rPr>
          <w:sz w:val="20"/>
          <w:szCs w:val="20"/>
          <w:color w:val="auto"/>
        </w:rPr>
      </w:pPr>
    </w:p>
    <w:p>
      <w:pPr>
        <w:jc w:val="both"/>
        <w:ind w:right="20" w:firstLine="749"/>
        <w:spacing w:after="0" w:line="236" w:lineRule="auto"/>
        <w:rPr>
          <w:sz w:val="20"/>
          <w:szCs w:val="20"/>
          <w:color w:val="auto"/>
        </w:rPr>
      </w:pPr>
      <w:r>
        <w:rPr>
          <w:rFonts w:ascii="Calibri" w:cs="Calibri" w:eastAsia="Calibri" w:hAnsi="Calibri"/>
          <w:sz w:val="20"/>
          <w:szCs w:val="20"/>
          <w:b w:val="1"/>
          <w:bCs w:val="1"/>
          <w:color w:val="auto"/>
        </w:rPr>
        <w:t xml:space="preserve">11.No Voluntary Adverse Action. </w:t>
      </w:r>
      <w:r>
        <w:rPr>
          <w:rFonts w:ascii="Calibri" w:cs="Calibri" w:eastAsia="Calibri" w:hAnsi="Calibri"/>
          <w:sz w:val="20"/>
          <w:szCs w:val="20"/>
          <w:color w:val="auto"/>
        </w:rPr>
        <w:t>You agree that you will not voluntarily (except in response to legal compulsion or 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expressly permited under the secton of this Agreement enttled “Protected Rights”, Secton 7(f)) assist any person in bringing or pursuing any proposed or pending litgaton, arbitraton, administratve claim or other formal proceeding against the Company, its parent or subsidiary enttes, afliates, ofcers, directors, employees or agents.</w:t>
      </w:r>
    </w:p>
    <w:p>
      <w:pPr>
        <w:spacing w:after="0" w:line="268"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12.Cooperation. </w:t>
      </w:r>
      <w:r>
        <w:rPr>
          <w:rFonts w:ascii="Calibri" w:cs="Calibri" w:eastAsia="Calibri" w:hAnsi="Calibri"/>
          <w:sz w:val="20"/>
          <w:szCs w:val="20"/>
          <w:color w:val="auto"/>
        </w:rPr>
        <w:t>If requested by the Company, you agree to reasonably cooperate with the Company in connecton with 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actual or contemplated defense, prosecuton, or investgaton of any claims or demands by or against third partes, or other maters arising from events, acts, or failures to act that occurred during the period of your employment by the Company. Such cooperaton includes, without limitaton, making yourself available to the Company upon reasonable notce, without subpoena, to provide complete, truthful and accurate informaton in witness interviews, depositons, and trial testmony. The Company will reimburse you for reasonable out-of-pocket expenses you incur in connecton with any such cooperaton (excluding foregone wages) and will make reasonable eforts to accommodate your scheduling needs.</w:t>
      </w:r>
    </w:p>
    <w:p>
      <w:pPr>
        <w:spacing w:after="0" w:line="270"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13.No Admissions. </w:t>
      </w:r>
      <w:r>
        <w:rPr>
          <w:rFonts w:ascii="Calibri" w:cs="Calibri" w:eastAsia="Calibri" w:hAnsi="Calibri"/>
          <w:sz w:val="20"/>
          <w:szCs w:val="20"/>
          <w:color w:val="auto"/>
        </w:rPr>
        <w:t>You understand and agree that the promises and payments in consideraton of this Agreement shall not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 construed to be an admission of any liability or obligaton by the Company to you or to any other person, and that the Company makes no such admission.</w:t>
      </w:r>
    </w:p>
    <w:p>
      <w:pPr>
        <w:spacing w:after="0" w:line="242"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 xml:space="preserve">14.Representations. </w:t>
      </w:r>
      <w:r>
        <w:rPr>
          <w:rFonts w:ascii="Calibri" w:cs="Calibri" w:eastAsia="Calibri" w:hAnsi="Calibri"/>
          <w:sz w:val="20"/>
          <w:szCs w:val="20"/>
          <w:color w:val="auto"/>
        </w:rPr>
        <w:t>You hereby represent that you have: been paid all compensaton owed</w:t>
      </w:r>
    </w:p>
    <w:p>
      <w:pPr>
        <w:ind w:left="5460"/>
        <w:spacing w:after="0" w:line="238" w:lineRule="auto"/>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891540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02" w:name="page203"/>
    <w:bookmarkEnd w:id="202"/>
    <w:p>
      <w:pPr>
        <w:spacing w:after="0" w:line="200" w:lineRule="exact"/>
        <w:rPr>
          <w:sz w:val="20"/>
          <w:szCs w:val="20"/>
          <w:color w:val="auto"/>
        </w:rPr>
      </w:pPr>
    </w:p>
    <w:p>
      <w:pPr>
        <w:spacing w:after="0" w:line="24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and for all hours worked; received all leave and leave benefts and protectons for which you are eligible pursuant to the Family and Medical Leave Act, the California Family Rights Act, or otherwise; and not sufered any on-the-job injury for which you have not already fled a workers’ compensaton claim.</w:t>
      </w:r>
    </w:p>
    <w:p>
      <w:pPr>
        <w:spacing w:after="0" w:line="252"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b w:val="1"/>
          <w:bCs w:val="1"/>
          <w:color w:val="auto"/>
        </w:rPr>
        <w:t xml:space="preserve">15.Dispute Resolution. </w:t>
      </w:r>
      <w:r>
        <w:rPr>
          <w:rFonts w:ascii="Calibri" w:cs="Calibri" w:eastAsia="Calibri" w:hAnsi="Calibri"/>
          <w:sz w:val="20"/>
          <w:szCs w:val="20"/>
          <w:color w:val="auto"/>
        </w:rPr>
        <w:t>You and the Company agree that any and all disputes, claims, or controversies of any nature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whatsoever arising from, or relatng to, this Agreement or its interpretaton, enforcement, breach, performance or executon, your employment or the terminaton of such employment (including, but not limited to, any statutory claims), shall be resolved pursuant to the Federal Arbitraton Act, 9 U.S.C. § 1‐16, to the fullest extent permited by law, by fnal, binding and confdental arbitraton conducted by JAMS or its successor, under JAMS’ then applicable rules and procedures for employment disputes before a single arbitrator (available upon request and also currently available at htp://www.jamsadr.com/rules‐employment‐arbitraton/) at a locaton closest to where you last worked for the Company provided that such locaton will be within ffy (50) miles of your last principal place of employment with the Company. </w:t>
      </w:r>
      <w:r>
        <w:rPr>
          <w:rFonts w:ascii="Calibri" w:cs="Calibri" w:eastAsia="Calibri" w:hAnsi="Calibri"/>
          <w:sz w:val="20"/>
          <w:szCs w:val="20"/>
          <w:b w:val="1"/>
          <w:bCs w:val="1"/>
          <w:color w:val="auto"/>
        </w:rPr>
        <w:t>You acknowledge that by agreeing to this arbitraton procedure, both you and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the Company waive the right to resolve any such dispute through a trial by jury or judge</w:t>
      </w:r>
      <w:r>
        <w:rPr>
          <w:rFonts w:ascii="Calibri" w:cs="Calibri" w:eastAsia="Calibri" w:hAnsi="Calibri"/>
          <w:sz w:val="20"/>
          <w:szCs w:val="20"/>
          <w:color w:val="auto"/>
        </w:rPr>
        <w:t>. In additon, all claims, disputes, or causes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acton under this secton, whether by you or the Company, must be brought in an individual capacity, and shall not be brought as a plaintf (or claimant) or class member in any purported class or representatve proceeding, nor joined or consolidated with the claims of any other person or entty. The arbitrator may not consolidate the claims of more than one person or entty, and may not preside over any form of representatve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arbitraton. This paragraph shall not apply to any acton or claim that cannot be subject to mandatory arbitraton as a mater of law, including, without limitaton, claims brought pursuant to the California Private Atorneys General Act of 2004, as amended, the California Fair Employment and Housing Act, as amended, and the California Labor Code, as amended, to the extent such claims are not permited by applicable law(s) to be submited to mandatory arbitraton and the applicable law(s) are not preempted by the Federal Arbitraton Act or otherwise invalid (collectvely, the “</w:t>
      </w:r>
      <w:r>
        <w:rPr>
          <w:rFonts w:ascii="Calibri" w:cs="Calibri" w:eastAsia="Calibri" w:hAnsi="Calibri"/>
          <w:sz w:val="20"/>
          <w:szCs w:val="20"/>
          <w:b w:val="1"/>
          <w:bCs w:val="1"/>
          <w:i w:val="1"/>
          <w:iCs w:val="1"/>
          <w:color w:val="auto"/>
        </w:rPr>
        <w:t>Excluded Claims</w:t>
      </w:r>
      <w:r>
        <w:rPr>
          <w:rFonts w:ascii="Calibri" w:cs="Calibri" w:eastAsia="Calibri" w:hAnsi="Calibri"/>
          <w:sz w:val="20"/>
          <w:szCs w:val="20"/>
          <w:color w:val="auto"/>
        </w:rPr>
        <w:t>”). In the event you intend to bring multple claims, including one of the Excluded Claims listed above, the Excluded Claims may be fled with a court, while any other claims will remain subject to mandatory arbitraton. You will have the right to be represented by legal counsel at any arbitraton proceeding. Questons of whether a claim is subject to arbitraton under this agreement shall be decided by the arbitrator. Likewise, procedural questons which grow out of the dispute and bear on the fnal dispositon are also maters for the arbitrator. The arbitrator shall: (a) have the authority to compel adequate discovery for the resoluton of the dispute and to award such relief as would otherwise be permited by law; and (b) issue a writen statement signed by the arbitrator regarding the dispositon of each claim and the relief, if any, awarded as to each claim, the reasons for the award, and the arbitrator’s essental fndings and conclusions on which the award is based. The arbitrator shall be authorized to award all relief that you or the Company would be enttled to seek in a court of law. The Company shall pay all JAMS arbitraton fees in excess of the administratve fees that you would be required to pay if the dispute were decided in a court of law. Nothing in this Agreement is intended to prevent either you or the Company from obtaining injunctve relief in court to prevent irreparable harm pending the conclusion of any such arbitraton. Any awards or orders in such arbitratons may be entered and enforced as judgments in the federal and state courts of any competent jurisdicton.</w:t>
      </w:r>
    </w:p>
    <w:p>
      <w:pPr>
        <w:spacing w:after="0" w:line="200" w:lineRule="exact"/>
        <w:rPr>
          <w:sz w:val="20"/>
          <w:szCs w:val="20"/>
          <w:color w:val="auto"/>
        </w:rPr>
      </w:pPr>
    </w:p>
    <w:p>
      <w:pPr>
        <w:spacing w:after="0" w:line="255"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 xml:space="preserve">16.Miscellaneous. </w:t>
      </w:r>
      <w:r>
        <w:rPr>
          <w:rFonts w:ascii="Calibri" w:cs="Calibri" w:eastAsia="Calibri" w:hAnsi="Calibri"/>
          <w:sz w:val="20"/>
          <w:szCs w:val="20"/>
          <w:color w:val="auto"/>
        </w:rPr>
        <w:t>This Agreement, including Exhibit A, consttutes the complete, fnal and</w:t>
      </w:r>
    </w:p>
    <w:p>
      <w:pPr>
        <w:ind w:left="5460"/>
        <w:spacing w:after="0" w:line="238" w:lineRule="auto"/>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891540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203" w:name="page204"/>
    <w:bookmarkEnd w:id="203"/>
    <w:p>
      <w:pPr>
        <w:spacing w:after="0" w:line="200" w:lineRule="exact"/>
        <w:rPr>
          <w:sz w:val="20"/>
          <w:szCs w:val="20"/>
          <w:color w:val="auto"/>
        </w:rPr>
      </w:pPr>
    </w:p>
    <w:p>
      <w:pPr>
        <w:spacing w:after="0" w:line="244" w:lineRule="exact"/>
        <w:rPr>
          <w:sz w:val="20"/>
          <w:szCs w:val="20"/>
          <w:color w:val="auto"/>
        </w:rPr>
      </w:pPr>
    </w:p>
    <w:p>
      <w:pPr>
        <w:jc w:val="both"/>
        <w:ind w:left="20"/>
        <w:spacing w:after="0" w:line="238" w:lineRule="auto"/>
        <w:rPr>
          <w:sz w:val="20"/>
          <w:szCs w:val="20"/>
          <w:color w:val="auto"/>
        </w:rPr>
      </w:pPr>
      <w:r>
        <w:rPr>
          <w:rFonts w:ascii="Calibri" w:cs="Calibri" w:eastAsia="Calibri" w:hAnsi="Calibri"/>
          <w:sz w:val="20"/>
          <w:szCs w:val="20"/>
          <w:color w:val="auto"/>
        </w:rPr>
        <w:t>exclusive embodiment of the entre agreement between you and the Company with regard to its subject mater. It is entered into without reliance on any promise or representaton, writen or oral, other than those expressly contained herein, and it supersedes any other such promises, warrantes or representatons. This Agreement may not be modifed or amended except in a writng signed by both you and a duly authorized ofcer of the Company. This Agreement will bind the heirs, personal representatves, successors and assigns of both you and the Company, and inure to the beneft of both you and the Company, their heirs, successors and assigns. If any provision of this Agreement is determined to be invalid or unenforceable, in whole or in part, this determinaton will not afect any other provision of this Agreement and the provision in queston will be modifed by the court so as to be rendered enforceable to the fullest extent permited by law, consistent with the intent of the partes. This Agreement will be deemed to have been entered into and will be construed and enforced in accordance with the laws of the State of California without regard to confict of laws principles. Any ambiguity in this Agreement shall not be construed against either party as the drafer. Any waiver of a breach of this Agreement shall be in writng and shall not be deemed to be a waiver of any successive breach. This Agreement may be executed in counterparts and electronic or facsimile signatures will sufce as original signatures.</w:t>
      </w:r>
    </w:p>
    <w:p>
      <w:pPr>
        <w:spacing w:after="0" w:line="267" w:lineRule="exact"/>
        <w:rPr>
          <w:sz w:val="20"/>
          <w:szCs w:val="20"/>
          <w:color w:val="auto"/>
        </w:rPr>
      </w:pPr>
    </w:p>
    <w:p>
      <w:pPr>
        <w:jc w:val="both"/>
        <w:ind w:left="20"/>
        <w:spacing w:after="0" w:line="236" w:lineRule="auto"/>
        <w:rPr>
          <w:sz w:val="20"/>
          <w:szCs w:val="20"/>
          <w:color w:val="auto"/>
        </w:rPr>
      </w:pPr>
      <w:r>
        <w:rPr>
          <w:rFonts w:ascii="Calibri" w:cs="Calibri" w:eastAsia="Calibri" w:hAnsi="Calibri"/>
          <w:sz w:val="20"/>
          <w:szCs w:val="20"/>
          <w:color w:val="auto"/>
        </w:rPr>
        <w:t>If this Agreement is acceptable to you, please sign below and return the original to me. This Agreement must become efectve and irrevocable no later than sixty (60) days following the Separaton Date in order for you to receive the severance benefts described herein, and the Company will have no obligaton to provide such benefts if this Agreement does not become efectve and irrevocable within that tmeframe.</w:t>
      </w:r>
    </w:p>
    <w:p>
      <w:pPr>
        <w:spacing w:after="0" w:line="218"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We wish you the best in your future endeavors.</w:t>
      </w:r>
    </w:p>
    <w:p>
      <w:pPr>
        <w:spacing w:after="0" w:line="21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-20955</wp:posOffset>
            </wp:positionV>
            <wp:extent cx="6985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69850" cy="8255"/>
                    </a:xfrm>
                    <a:prstGeom prst="rect">
                      <a:avLst/>
                    </a:prstGeom>
                    <a:noFill/>
                  </pic:spPr>
                </pic:pic>
              </a:graphicData>
            </a:graphic>
          </wp:anchor>
        </w:drawing>
      </w:r>
    </w:p>
    <w:p>
      <w:pPr>
        <w:ind w:left="760"/>
        <w:spacing w:after="0" w:line="238" w:lineRule="auto"/>
        <w:rPr>
          <w:sz w:val="20"/>
          <w:szCs w:val="20"/>
          <w:color w:val="auto"/>
        </w:rPr>
      </w:pPr>
      <w:r>
        <w:rPr>
          <w:rFonts w:ascii="Calibri" w:cs="Calibri" w:eastAsia="Calibri" w:hAnsi="Calibri"/>
          <w:sz w:val="20"/>
          <w:szCs w:val="20"/>
          <w:b w:val="1"/>
          <w:bCs w:val="1"/>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auto"/>
        </w:rPr>
        <w:t>I have read, understand and agree fully to the foregoing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auto"/>
        </w:rPr>
        <w:t>[NAME]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Date</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890905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1440" w:right="459"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1067435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5" w:name="page206"/>
    <w:bookmarkEnd w:id="205"/>
    <w:p>
      <w:pPr>
        <w:spacing w:after="0" w:line="354" w:lineRule="exact"/>
        <w:rPr>
          <w:sz w:val="20"/>
          <w:szCs w:val="20"/>
          <w:color w:val="auto"/>
        </w:rPr>
      </w:pPr>
    </w:p>
    <w:p>
      <w:pPr>
        <w:ind w:left="3280"/>
        <w:spacing w:after="0"/>
        <w:rPr>
          <w:sz w:val="20"/>
          <w:szCs w:val="20"/>
          <w:color w:val="auto"/>
        </w:rPr>
      </w:pPr>
      <w:r>
        <w:rPr>
          <w:rFonts w:ascii="Calibri" w:cs="Calibri" w:eastAsia="Calibri" w:hAnsi="Calibri"/>
          <w:sz w:val="20"/>
          <w:szCs w:val="20"/>
          <w:b w:val="1"/>
          <w:bCs w:val="1"/>
          <w:color w:val="auto"/>
        </w:rPr>
        <w:t>Exhibit A</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EMPLOYEE CONFIDENTIAL INFORMATION AND INVENTIONS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890905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99"/>
          </w:cols>
          <w:pgMar w:left="1260" w:top="1440"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KYVERNA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NON-EMPLOYEE DIRECTOR COMPENSATION PROGRAM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March 25,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Kyverna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Restated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 been adopted under the Company’s 2024 Equity Incentive Plan (as may be amended or restated from time to time, the</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shall amend and restate the Company’s Non-Employee Director Compensation Program, and become effective, as of</w:t>
      </w:r>
    </w:p>
    <w:p>
      <w:pPr>
        <w:spacing w:after="0" w:line="231" w:lineRule="auto"/>
        <w:rPr>
          <w:sz w:val="20"/>
          <w:szCs w:val="20"/>
          <w:color w:val="auto"/>
        </w:rPr>
      </w:pPr>
      <w:r>
        <w:rPr>
          <w:rFonts w:ascii="Times New Roman" w:cs="Times New Roman" w:eastAsia="Times New Roman" w:hAnsi="Times New Roman"/>
          <w:sz w:val="22"/>
          <w:szCs w:val="22"/>
          <w:color w:val="auto"/>
        </w:rPr>
        <w:t>March 25,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not otherwise defined herein shall have the meaning ascribed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Cash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Annual retainers will be paid in the following amounts to non-employee members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(the “</w:t>
      </w:r>
      <w:r>
        <w:rPr>
          <w:rFonts w:ascii="Times New Roman" w:cs="Times New Roman" w:eastAsia="Times New Roman" w:hAnsi="Times New Roman"/>
          <w:sz w:val="22"/>
          <w:szCs w:val="22"/>
          <w:b w:val="1"/>
          <w:bCs w:val="1"/>
          <w:i w:val="1"/>
          <w:iCs w:val="1"/>
          <w:color w:val="auto"/>
        </w:rPr>
        <w:t>Non-Employee Directors</w:t>
      </w:r>
      <w:r>
        <w:rPr>
          <w:rFonts w:ascii="Times New Roman" w:cs="Times New Roman" w:eastAsia="Times New Roman" w:hAnsi="Times New Roman"/>
          <w:sz w:val="22"/>
          <w:szCs w:val="22"/>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Non-Employee Director:</w:t>
            </w:r>
          </w:p>
        </w:tc>
        <w:tc>
          <w:tcPr>
            <w:tcW w:w="2660" w:type="dxa"/>
            <w:vAlign w:val="bottom"/>
            <w:shd w:val="clear" w:color="auto" w:fill="CCEEFF"/>
          </w:tcPr>
          <w:p>
            <w:pPr>
              <w:jc w:val="center"/>
              <w:ind w:left="972"/>
              <w:spacing w:after="0"/>
              <w:rPr>
                <w:sz w:val="20"/>
                <w:szCs w:val="20"/>
                <w:color w:val="auto"/>
              </w:rPr>
            </w:pPr>
            <w:r>
              <w:rPr>
                <w:rFonts w:ascii="Times New Roman" w:cs="Times New Roman" w:eastAsia="Times New Roman" w:hAnsi="Times New Roman"/>
                <w:sz w:val="22"/>
                <w:szCs w:val="22"/>
                <w:color w:val="auto"/>
                <w:w w:val="97"/>
              </w:rPr>
              <w:t>$40,000</w:t>
            </w:r>
          </w:p>
        </w:tc>
      </w:tr>
      <w:tr>
        <w:trPr>
          <w:trHeight w:val="243"/>
        </w:trPr>
        <w:tc>
          <w:tcPr>
            <w:tcW w:w="85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Chairperson:</w:t>
            </w:r>
          </w:p>
        </w:tc>
        <w:tc>
          <w:tcPr>
            <w:tcW w:w="2660" w:type="dxa"/>
            <w:vAlign w:val="bottom"/>
          </w:tcPr>
          <w:p>
            <w:pPr>
              <w:jc w:val="center"/>
              <w:ind w:left="972"/>
              <w:spacing w:after="0" w:line="243" w:lineRule="exact"/>
              <w:rPr>
                <w:sz w:val="20"/>
                <w:szCs w:val="20"/>
                <w:color w:val="auto"/>
              </w:rPr>
            </w:pPr>
            <w:r>
              <w:rPr>
                <w:rFonts w:ascii="Times New Roman" w:cs="Times New Roman" w:eastAsia="Times New Roman" w:hAnsi="Times New Roman"/>
                <w:sz w:val="22"/>
                <w:szCs w:val="22"/>
                <w:color w:val="auto"/>
                <w:w w:val="97"/>
              </w:rPr>
              <w:t>$35,000</w:t>
            </w:r>
          </w:p>
        </w:tc>
      </w:tr>
      <w:tr>
        <w:trPr>
          <w:trHeight w:val="243"/>
        </w:trPr>
        <w:tc>
          <w:tcPr>
            <w:tcW w:w="85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Audit Committee Chairperson:</w:t>
            </w:r>
          </w:p>
        </w:tc>
        <w:tc>
          <w:tcPr>
            <w:tcW w:w="2660" w:type="dxa"/>
            <w:vAlign w:val="bottom"/>
            <w:shd w:val="clear" w:color="auto" w:fill="CCEEFF"/>
          </w:tcPr>
          <w:p>
            <w:pPr>
              <w:jc w:val="center"/>
              <w:ind w:left="972"/>
              <w:spacing w:after="0" w:line="243" w:lineRule="exact"/>
              <w:rPr>
                <w:sz w:val="20"/>
                <w:szCs w:val="20"/>
                <w:color w:val="auto"/>
              </w:rPr>
            </w:pPr>
            <w:r>
              <w:rPr>
                <w:rFonts w:ascii="Times New Roman" w:cs="Times New Roman" w:eastAsia="Times New Roman" w:hAnsi="Times New Roman"/>
                <w:sz w:val="22"/>
                <w:szCs w:val="22"/>
                <w:color w:val="auto"/>
                <w:w w:val="97"/>
              </w:rPr>
              <w:t>$20,000</w:t>
            </w:r>
          </w:p>
        </w:tc>
      </w:tr>
      <w:tr>
        <w:trPr>
          <w:trHeight w:val="243"/>
        </w:trPr>
        <w:tc>
          <w:tcPr>
            <w:tcW w:w="85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Compensation Committee Chairperson:</w:t>
            </w:r>
          </w:p>
        </w:tc>
        <w:tc>
          <w:tcPr>
            <w:tcW w:w="2660" w:type="dxa"/>
            <w:vAlign w:val="bottom"/>
          </w:tcPr>
          <w:p>
            <w:pPr>
              <w:jc w:val="center"/>
              <w:ind w:left="972"/>
              <w:spacing w:after="0" w:line="243" w:lineRule="exact"/>
              <w:rPr>
                <w:sz w:val="20"/>
                <w:szCs w:val="20"/>
                <w:color w:val="auto"/>
              </w:rPr>
            </w:pPr>
            <w:r>
              <w:rPr>
                <w:rFonts w:ascii="Times New Roman" w:cs="Times New Roman" w:eastAsia="Times New Roman" w:hAnsi="Times New Roman"/>
                <w:sz w:val="22"/>
                <w:szCs w:val="22"/>
                <w:color w:val="auto"/>
                <w:w w:val="97"/>
              </w:rPr>
              <w:t>$15,000</w:t>
            </w:r>
          </w:p>
        </w:tc>
      </w:tr>
      <w:tr>
        <w:trPr>
          <w:trHeight w:val="243"/>
        </w:trPr>
        <w:tc>
          <w:tcPr>
            <w:tcW w:w="85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Nominating and Corporate Governance Committee Chairperson:</w:t>
            </w:r>
          </w:p>
        </w:tc>
        <w:tc>
          <w:tcPr>
            <w:tcW w:w="2660" w:type="dxa"/>
            <w:vAlign w:val="bottom"/>
            <w:shd w:val="clear" w:color="auto" w:fill="CCEEFF"/>
          </w:tcPr>
          <w:p>
            <w:pPr>
              <w:jc w:val="center"/>
              <w:ind w:left="972"/>
              <w:spacing w:after="0" w:line="243" w:lineRule="exact"/>
              <w:rPr>
                <w:sz w:val="20"/>
                <w:szCs w:val="20"/>
                <w:color w:val="auto"/>
              </w:rPr>
            </w:pPr>
            <w:r>
              <w:rPr>
                <w:rFonts w:ascii="Times New Roman" w:cs="Times New Roman" w:eastAsia="Times New Roman" w:hAnsi="Times New Roman"/>
                <w:sz w:val="22"/>
                <w:szCs w:val="22"/>
                <w:color w:val="auto"/>
                <w:w w:val="97"/>
              </w:rPr>
              <w:t>$10,000</w:t>
            </w:r>
          </w:p>
        </w:tc>
      </w:tr>
      <w:tr>
        <w:trPr>
          <w:trHeight w:val="243"/>
        </w:trPr>
        <w:tc>
          <w:tcPr>
            <w:tcW w:w="85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Science and Technology Committee Chairperson:</w:t>
            </w:r>
          </w:p>
        </w:tc>
        <w:tc>
          <w:tcPr>
            <w:tcW w:w="2660" w:type="dxa"/>
            <w:vAlign w:val="bottom"/>
          </w:tcPr>
          <w:p>
            <w:pPr>
              <w:jc w:val="center"/>
              <w:ind w:left="972"/>
              <w:spacing w:after="0" w:line="243" w:lineRule="exact"/>
              <w:rPr>
                <w:sz w:val="20"/>
                <w:szCs w:val="20"/>
                <w:color w:val="auto"/>
              </w:rPr>
            </w:pPr>
            <w:r>
              <w:rPr>
                <w:rFonts w:ascii="Times New Roman" w:cs="Times New Roman" w:eastAsia="Times New Roman" w:hAnsi="Times New Roman"/>
                <w:sz w:val="22"/>
                <w:szCs w:val="22"/>
                <w:color w:val="auto"/>
                <w:w w:val="97"/>
              </w:rPr>
              <w:t>$15,000</w:t>
            </w:r>
          </w:p>
        </w:tc>
      </w:tr>
      <w:tr>
        <w:trPr>
          <w:trHeight w:val="243"/>
        </w:trPr>
        <w:tc>
          <w:tcPr>
            <w:tcW w:w="85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Audit Committee Member (non-Chairperson):</w:t>
            </w:r>
          </w:p>
        </w:tc>
        <w:tc>
          <w:tcPr>
            <w:tcW w:w="2660" w:type="dxa"/>
            <w:vAlign w:val="bottom"/>
            <w:shd w:val="clear" w:color="auto" w:fill="CCEEFF"/>
          </w:tcPr>
          <w:p>
            <w:pPr>
              <w:jc w:val="center"/>
              <w:ind w:left="972"/>
              <w:spacing w:after="0" w:line="243" w:lineRule="exact"/>
              <w:rPr>
                <w:sz w:val="20"/>
                <w:szCs w:val="20"/>
                <w:color w:val="auto"/>
              </w:rPr>
            </w:pPr>
            <w:r>
              <w:rPr>
                <w:rFonts w:ascii="Times New Roman" w:cs="Times New Roman" w:eastAsia="Times New Roman" w:hAnsi="Times New Roman"/>
                <w:sz w:val="22"/>
                <w:szCs w:val="22"/>
                <w:color w:val="auto"/>
                <w:w w:val="97"/>
              </w:rPr>
              <w:t>$10,000</w:t>
            </w:r>
          </w:p>
        </w:tc>
      </w:tr>
      <w:tr>
        <w:trPr>
          <w:trHeight w:val="243"/>
        </w:trPr>
        <w:tc>
          <w:tcPr>
            <w:tcW w:w="85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Compensation Committee Member (non-Chairperson):</w:t>
            </w:r>
          </w:p>
        </w:tc>
        <w:tc>
          <w:tcPr>
            <w:tcW w:w="2660" w:type="dxa"/>
            <w:vAlign w:val="bottom"/>
          </w:tcPr>
          <w:p>
            <w:pPr>
              <w:jc w:val="center"/>
              <w:ind w:left="992"/>
              <w:spacing w:after="0" w:line="243" w:lineRule="exact"/>
              <w:rPr>
                <w:sz w:val="20"/>
                <w:szCs w:val="20"/>
                <w:color w:val="auto"/>
              </w:rPr>
            </w:pPr>
            <w:r>
              <w:rPr>
                <w:rFonts w:ascii="Times New Roman" w:cs="Times New Roman" w:eastAsia="Times New Roman" w:hAnsi="Times New Roman"/>
                <w:sz w:val="22"/>
                <w:szCs w:val="22"/>
                <w:color w:val="auto"/>
                <w:w w:val="99"/>
              </w:rPr>
              <w:t>$7,500</w:t>
            </w:r>
          </w:p>
        </w:tc>
      </w:tr>
      <w:tr>
        <w:trPr>
          <w:trHeight w:val="243"/>
        </w:trPr>
        <w:tc>
          <w:tcPr>
            <w:tcW w:w="858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22"/>
                <w:szCs w:val="22"/>
                <w:color w:val="auto"/>
              </w:rPr>
              <w:t>Nominating and Corporate Governance Committee Member (non-Chairperson):</w:t>
            </w:r>
          </w:p>
        </w:tc>
        <w:tc>
          <w:tcPr>
            <w:tcW w:w="2660" w:type="dxa"/>
            <w:vAlign w:val="bottom"/>
            <w:shd w:val="clear" w:color="auto" w:fill="CCEEFF"/>
          </w:tcPr>
          <w:p>
            <w:pPr>
              <w:jc w:val="center"/>
              <w:ind w:left="992"/>
              <w:spacing w:after="0" w:line="243" w:lineRule="exact"/>
              <w:rPr>
                <w:sz w:val="20"/>
                <w:szCs w:val="20"/>
                <w:color w:val="auto"/>
              </w:rPr>
            </w:pPr>
            <w:r>
              <w:rPr>
                <w:rFonts w:ascii="Times New Roman" w:cs="Times New Roman" w:eastAsia="Times New Roman" w:hAnsi="Times New Roman"/>
                <w:sz w:val="22"/>
                <w:szCs w:val="22"/>
                <w:color w:val="auto"/>
                <w:w w:val="99"/>
              </w:rPr>
              <w:t>$5,000</w:t>
            </w:r>
          </w:p>
        </w:tc>
      </w:tr>
      <w:tr>
        <w:trPr>
          <w:trHeight w:val="282"/>
        </w:trPr>
        <w:tc>
          <w:tcPr>
            <w:tcW w:w="8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Science and Technology Committee (non-Chairperson):</w:t>
            </w:r>
          </w:p>
        </w:tc>
        <w:tc>
          <w:tcPr>
            <w:tcW w:w="2660" w:type="dxa"/>
            <w:vAlign w:val="bottom"/>
          </w:tcPr>
          <w:p>
            <w:pPr>
              <w:jc w:val="center"/>
              <w:ind w:left="992"/>
              <w:spacing w:after="0"/>
              <w:rPr>
                <w:sz w:val="20"/>
                <w:szCs w:val="20"/>
                <w:color w:val="auto"/>
              </w:rPr>
            </w:pPr>
            <w:r>
              <w:rPr>
                <w:rFonts w:ascii="Times New Roman" w:cs="Times New Roman" w:eastAsia="Times New Roman" w:hAnsi="Times New Roman"/>
                <w:sz w:val="22"/>
                <w:szCs w:val="22"/>
                <w:color w:val="auto"/>
                <w:w w:val="99"/>
              </w:rPr>
              <w:t>$7,500</w:t>
            </w:r>
          </w:p>
        </w:tc>
      </w:tr>
    </w:tbl>
    <w:p>
      <w:pPr>
        <w:spacing w:after="0" w:line="17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All annual retainers are additive and will be paid in cash quarterly in arrears promptly following the end of the applicable calendar quarter, but in no event more than 45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to Receive Restricted Stock Units In Lieu of Annual Retainer(s)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53"/>
        </w:trPr>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w:t>
            </w:r>
          </w:p>
        </w:tc>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Each Non-Employee Director may elect to convert all or a portion of such Non-Employee Director’s</w:t>
            </w:r>
          </w:p>
        </w:tc>
      </w:tr>
      <w:tr>
        <w:trPr>
          <w:trHeight w:val="249"/>
        </w:trPr>
        <w:tc>
          <w:tcPr>
            <w:tcW w:w="2380" w:type="dxa"/>
            <w:vAlign w:val="bottom"/>
          </w:tcPr>
          <w:p>
            <w:pPr>
              <w:spacing w:after="0"/>
              <w:rPr>
                <w:sz w:val="21"/>
                <w:szCs w:val="21"/>
                <w:color w:val="auto"/>
              </w:rPr>
            </w:pPr>
          </w:p>
        </w:tc>
        <w:tc>
          <w:tcPr>
            <w:tcW w:w="88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annual retainer into a number of RSUs (“</w:t>
            </w:r>
            <w:r>
              <w:rPr>
                <w:rFonts w:ascii="Times New Roman" w:cs="Times New Roman" w:eastAsia="Times New Roman" w:hAnsi="Times New Roman"/>
                <w:sz w:val="22"/>
                <w:szCs w:val="22"/>
                <w:b w:val="1"/>
                <w:bCs w:val="1"/>
                <w:i w:val="1"/>
                <w:iCs w:val="1"/>
                <w:color w:val="auto"/>
              </w:rPr>
              <w:t>Optional RSUs</w:t>
            </w:r>
            <w:r>
              <w:rPr>
                <w:rFonts w:ascii="Times New Roman" w:cs="Times New Roman" w:eastAsia="Times New Roman" w:hAnsi="Times New Roman"/>
                <w:sz w:val="22"/>
                <w:szCs w:val="22"/>
                <w:color w:val="auto"/>
              </w:rPr>
              <w:t>”) granted under the Plan or any other</w:t>
            </w:r>
          </w:p>
        </w:tc>
      </w:tr>
      <w:tr>
        <w:trPr>
          <w:trHeight w:val="237"/>
        </w:trPr>
        <w:tc>
          <w:tcPr>
            <w:tcW w:w="2380" w:type="dxa"/>
            <w:vAlign w:val="bottom"/>
          </w:tcPr>
          <w:p>
            <w:pPr>
              <w:spacing w:after="0"/>
              <w:rPr>
                <w:sz w:val="20"/>
                <w:szCs w:val="20"/>
                <w:color w:val="auto"/>
              </w:rPr>
            </w:pPr>
          </w:p>
        </w:tc>
        <w:tc>
          <w:tcPr>
            <w:tcW w:w="886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applicable Company equity incentive plan then-maintained by the Company covering a number of</w:t>
            </w:r>
          </w:p>
        </w:tc>
      </w:tr>
      <w:tr>
        <w:trPr>
          <w:trHeight w:val="249"/>
        </w:trPr>
        <w:tc>
          <w:tcPr>
            <w:tcW w:w="2380" w:type="dxa"/>
            <w:vAlign w:val="bottom"/>
          </w:tcPr>
          <w:p>
            <w:pPr>
              <w:spacing w:after="0"/>
              <w:rPr>
                <w:sz w:val="21"/>
                <w:szCs w:val="21"/>
                <w:color w:val="auto"/>
              </w:rPr>
            </w:pPr>
          </w:p>
        </w:tc>
        <w:tc>
          <w:tcPr>
            <w:tcW w:w="88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shares of Common Stock of the Company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calculated by dividing (i) the</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amount of the annual retainer that would have otherwise been paid to such Non-Employee Director</w:t>
            </w:r>
          </w:p>
        </w:tc>
      </w:tr>
      <w:tr>
        <w:trPr>
          <w:trHeight w:val="237"/>
        </w:trPr>
        <w:tc>
          <w:tcPr>
            <w:tcW w:w="2380" w:type="dxa"/>
            <w:vAlign w:val="bottom"/>
          </w:tcPr>
          <w:p>
            <w:pPr>
              <w:spacing w:after="0"/>
              <w:rPr>
                <w:sz w:val="20"/>
                <w:szCs w:val="20"/>
                <w:color w:val="auto"/>
              </w:rPr>
            </w:pPr>
          </w:p>
        </w:tc>
        <w:tc>
          <w:tcPr>
            <w:tcW w:w="886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on the applicable grant date by (ii) the per share Fair Market Value as of the date of grant (such</w:t>
            </w:r>
          </w:p>
        </w:tc>
      </w:tr>
      <w:tr>
        <w:trPr>
          <w:trHeight w:val="288"/>
        </w:trPr>
        <w:tc>
          <w:tcPr>
            <w:tcW w:w="238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election, a “</w:t>
            </w:r>
            <w:r>
              <w:rPr>
                <w:rFonts w:ascii="Times New Roman" w:cs="Times New Roman" w:eastAsia="Times New Roman" w:hAnsi="Times New Roman"/>
                <w:sz w:val="22"/>
                <w:szCs w:val="22"/>
                <w:b w:val="1"/>
                <w:bCs w:val="1"/>
                <w:i w:val="1"/>
                <w:iCs w:val="1"/>
                <w:color w:val="auto"/>
              </w:rPr>
              <w:t>Optional RSU Election</w:t>
            </w:r>
            <w:r>
              <w:rPr>
                <w:rFonts w:ascii="Times New Roman" w:cs="Times New Roman" w:eastAsia="Times New Roman" w:hAnsi="Times New Roman"/>
                <w:sz w:val="22"/>
                <w:szCs w:val="22"/>
                <w:color w:val="auto"/>
              </w:rPr>
              <w:t>”).</w:t>
            </w:r>
          </w:p>
        </w:tc>
      </w:tr>
      <w:tr>
        <w:trPr>
          <w:trHeight w:val="420"/>
        </w:trPr>
        <w:tc>
          <w:tcPr>
            <w:tcW w:w="238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Each award of Optional RSUs will be granted on the fifth day of the month immediately following</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the end of the quarter for which the corresponding portion of the annual retainer was earned, except</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that if such fifth day of the month is not a trading day, the applicable award of Optional RSUs will</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 granted on the next trading day following such date. Each award of Optional RSUs will be fully</w:t>
            </w:r>
          </w:p>
        </w:tc>
      </w:tr>
      <w:tr>
        <w:trPr>
          <w:trHeight w:val="282"/>
        </w:trPr>
        <w:tc>
          <w:tcPr>
            <w:tcW w:w="238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vested on the date of grant.</w:t>
            </w:r>
          </w:p>
        </w:tc>
      </w:tr>
      <w:tr>
        <w:trPr>
          <w:trHeight w:val="420"/>
        </w:trPr>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Election Method:</w:t>
            </w:r>
          </w:p>
        </w:tc>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Each Optional RSU Election must be submitted to the Company in the form and manner, and by the</w:t>
            </w:r>
          </w:p>
        </w:tc>
      </w:tr>
      <w:tr>
        <w:trPr>
          <w:trHeight w:val="237"/>
        </w:trPr>
        <w:tc>
          <w:tcPr>
            <w:tcW w:w="2380" w:type="dxa"/>
            <w:vAlign w:val="bottom"/>
          </w:tcPr>
          <w:p>
            <w:pPr>
              <w:spacing w:after="0"/>
              <w:rPr>
                <w:sz w:val="20"/>
                <w:szCs w:val="20"/>
                <w:color w:val="auto"/>
              </w:rPr>
            </w:pPr>
          </w:p>
        </w:tc>
        <w:tc>
          <w:tcPr>
            <w:tcW w:w="886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Applicable Deadline (as defined below), specified by the Board or Compensation Committee of the</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Board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but in any event no later than five days prior to the end of</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9"/>
              </w:rPr>
              <w:t>the quarter for which the corresponding portion of the annual retainer is earned (each, an “</w:t>
            </w:r>
            <w:r>
              <w:rPr>
                <w:rFonts w:ascii="Times New Roman" w:cs="Times New Roman" w:eastAsia="Times New Roman" w:hAnsi="Times New Roman"/>
                <w:sz w:val="22"/>
                <w:szCs w:val="22"/>
                <w:b w:val="1"/>
                <w:bCs w:val="1"/>
                <w:i w:val="1"/>
                <w:iCs w:val="1"/>
                <w:color w:val="auto"/>
                <w:w w:val="99"/>
              </w:rPr>
              <w:t>Applicable</w:t>
            </w:r>
          </w:p>
        </w:tc>
      </w:tr>
      <w:tr>
        <w:trPr>
          <w:trHeight w:val="249"/>
        </w:trPr>
        <w:tc>
          <w:tcPr>
            <w:tcW w:w="2380" w:type="dxa"/>
            <w:vAlign w:val="bottom"/>
          </w:tcPr>
          <w:p>
            <w:pPr>
              <w:spacing w:after="0"/>
              <w:rPr>
                <w:sz w:val="21"/>
                <w:szCs w:val="21"/>
                <w:color w:val="auto"/>
              </w:rPr>
            </w:pPr>
          </w:p>
        </w:tc>
        <w:tc>
          <w:tcPr>
            <w:tcW w:w="88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b w:val="1"/>
                <w:bCs w:val="1"/>
                <w:i w:val="1"/>
                <w:iCs w:val="1"/>
                <w:color w:val="auto"/>
              </w:rPr>
              <w:t>Deadline</w:t>
            </w:r>
            <w:r>
              <w:rPr>
                <w:rFonts w:ascii="Times New Roman" w:cs="Times New Roman" w:eastAsia="Times New Roman" w:hAnsi="Times New Roman"/>
                <w:sz w:val="22"/>
                <w:szCs w:val="22"/>
                <w:color w:val="auto"/>
              </w:rPr>
              <w:t>”). An individual who fails to make a timely Optional RSU Election by the Applicable</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Deadline with respect to the annual retainer for a quarter shall not receive Optional RSUs for such</w:t>
            </w:r>
          </w:p>
        </w:tc>
      </w:tr>
      <w:tr>
        <w:trPr>
          <w:trHeight w:val="282"/>
        </w:trPr>
        <w:tc>
          <w:tcPr>
            <w:tcW w:w="238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quarter and instead shall receive the applicable annual retainer in cash for such quarter.</w:t>
            </w:r>
          </w:p>
        </w:tc>
      </w:tr>
      <w:tr>
        <w:trPr>
          <w:trHeight w:val="434"/>
        </w:trPr>
        <w:tc>
          <w:tcPr>
            <w:tcW w:w="238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Deferral of Settlement. The Board, the Compensation Committee or their respective authorized</w:t>
            </w:r>
          </w:p>
        </w:tc>
      </w:tr>
      <w:tr>
        <w:trPr>
          <w:trHeight w:val="236"/>
        </w:trPr>
        <w:tc>
          <w:tcPr>
            <w:tcW w:w="2380" w:type="dxa"/>
            <w:vAlign w:val="bottom"/>
          </w:tcPr>
          <w:p>
            <w:pPr>
              <w:spacing w:after="0"/>
              <w:rPr>
                <w:sz w:val="20"/>
                <w:szCs w:val="20"/>
                <w:color w:val="auto"/>
              </w:rPr>
            </w:pPr>
          </w:p>
        </w:tc>
        <w:tc>
          <w:tcPr>
            <w:tcW w:w="194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designee may, in its</w:t>
            </w:r>
          </w:p>
        </w:tc>
        <w:tc>
          <w:tcPr>
            <w:tcW w:w="69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discretion, provide an individual who is a Non-Employee Director with the</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opportunity to defer the delivery of the shares underlying Optional RSUs that would otherwise be</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delivered to the individual hereunder. Any such deferral election shall be subject to such rules,</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conditions and procedures as shall be determined by the Board or the Compensation Committee, in</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its sole discretion, which rules, conditions and procedures shall at all times comply with the</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9"/>
              </w:rPr>
              <w:t>requirements of Section 409A of the Code, unless otherwise specifically determined by the Board or</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the Compensation Committee. If an individual elects to defer the delivery of the shares underlying</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Optional RSUs in accordance herewith (which, pursuant to applicable tax rules, may be limited to</w:t>
            </w:r>
          </w:p>
        </w:tc>
      </w:tr>
      <w:tr>
        <w:trPr>
          <w:trHeight w:val="243"/>
        </w:trPr>
        <w:tc>
          <w:tcPr>
            <w:tcW w:w="2380" w:type="dxa"/>
            <w:vAlign w:val="bottom"/>
          </w:tcPr>
          <w:p>
            <w:pPr>
              <w:spacing w:after="0"/>
              <w:rPr>
                <w:sz w:val="21"/>
                <w:szCs w:val="21"/>
                <w:color w:val="auto"/>
              </w:rPr>
            </w:pPr>
          </w:p>
        </w:tc>
        <w:tc>
          <w:tcPr>
            <w:tcW w:w="8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apply only with respect to compensation for services in subsequent tax years), settlement of the</w:t>
            </w:r>
          </w:p>
        </w:tc>
      </w:tr>
      <w:tr>
        <w:trPr>
          <w:trHeight w:val="282"/>
        </w:trPr>
        <w:tc>
          <w:tcPr>
            <w:tcW w:w="238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Optional RSUs shall be made in accordance with the terms of the Optional RSU Election.</w:t>
            </w:r>
          </w:p>
        </w:tc>
      </w:tr>
      <w:tr>
        <w:trPr>
          <w:trHeight w:val="891"/>
        </w:trPr>
        <w:tc>
          <w:tcPr>
            <w:tcW w:w="2380" w:type="dxa"/>
            <w:vAlign w:val="bottom"/>
          </w:tcPr>
          <w:p>
            <w:pPr>
              <w:spacing w:after="0"/>
              <w:rPr>
                <w:sz w:val="24"/>
                <w:szCs w:val="24"/>
                <w:color w:val="auto"/>
              </w:rPr>
            </w:pPr>
          </w:p>
        </w:tc>
        <w:tc>
          <w:tcPr>
            <w:tcW w:w="8860" w:type="dxa"/>
            <w:vAlign w:val="bottom"/>
            <w:gridSpan w:val="2"/>
          </w:tcPr>
          <w:p>
            <w:pPr>
              <w:ind w:left="3200"/>
              <w:spacing w:after="0"/>
              <w:rPr>
                <w:sz w:val="20"/>
                <w:szCs w:val="20"/>
                <w:color w:val="auto"/>
              </w:rPr>
            </w:pPr>
            <w:r>
              <w:rPr>
                <w:rFonts w:ascii="Times New Roman" w:cs="Times New Roman" w:eastAsia="Times New Roman" w:hAnsi="Times New Roman"/>
                <w:sz w:val="22"/>
                <w:szCs w:val="22"/>
                <w:color w:val="auto"/>
              </w:rPr>
              <w:t>2</w:t>
            </w:r>
          </w:p>
        </w:tc>
      </w:tr>
      <w:tr>
        <w:trPr>
          <w:trHeight w:val="1291"/>
        </w:trPr>
        <w:tc>
          <w:tcPr>
            <w:tcW w:w="23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88"/>
        </w:trPr>
        <w:tc>
          <w:tcPr>
            <w:tcW w:w="2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Equity Compensation</w:t>
            </w:r>
          </w:p>
        </w:tc>
        <w:tc>
          <w:tcPr>
            <w:tcW w:w="9020" w:type="dxa"/>
            <w:vAlign w:val="bottom"/>
          </w:tcPr>
          <w:p>
            <w:pPr>
              <w:spacing w:after="0"/>
              <w:rPr>
                <w:sz w:val="24"/>
                <w:szCs w:val="24"/>
                <w:color w:val="auto"/>
              </w:rPr>
            </w:pPr>
          </w:p>
        </w:tc>
      </w:tr>
      <w:tr>
        <w:trPr>
          <w:trHeight w:val="420"/>
        </w:trPr>
        <w:tc>
          <w:tcPr>
            <w:tcW w:w="2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Initial Stock Option</w:t>
            </w:r>
          </w:p>
        </w:tc>
        <w:tc>
          <w:tcPr>
            <w:tcW w:w="9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Each Non-Employee Director who is initially elected or appointed to serve on the Board after the</w:t>
            </w:r>
          </w:p>
        </w:tc>
      </w:tr>
      <w:tr>
        <w:trPr>
          <w:trHeight w:val="243"/>
        </w:trPr>
        <w:tc>
          <w:tcPr>
            <w:tcW w:w="22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Grant and RSU Grant:</w:t>
            </w: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Effective Date shall be granted (A) an Option under the Plan or any other applicable Company</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equity incentive plan then maintained by the Company to purchase that number of shares of</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 Stock calculated by dividing (I) $262,500 by (II) the per share grant date fair value of the</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9"/>
              </w:rPr>
              <w:t>Option, calculated based on the closing trading price of the Common Stock as of the date of grant (or</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if the date of grant is not a trading day, the immediately preceding trading day) and using</w:t>
            </w:r>
          </w:p>
        </w:tc>
      </w:tr>
      <w:tr>
        <w:trPr>
          <w:trHeight w:val="237"/>
        </w:trPr>
        <w:tc>
          <w:tcPr>
            <w:tcW w:w="2220" w:type="dxa"/>
            <w:vAlign w:val="bottom"/>
          </w:tcPr>
          <w:p>
            <w:pPr>
              <w:spacing w:after="0"/>
              <w:rPr>
                <w:sz w:val="20"/>
                <w:szCs w:val="20"/>
                <w:color w:val="auto"/>
              </w:rPr>
            </w:pPr>
          </w:p>
        </w:tc>
        <w:tc>
          <w:tcPr>
            <w:tcW w:w="9020" w:type="dxa"/>
            <w:vAlign w:val="bottom"/>
          </w:tcPr>
          <w:p>
            <w:pPr>
              <w:ind w:left="160"/>
              <w:spacing w:after="0" w:line="237" w:lineRule="exact"/>
              <w:rPr>
                <w:sz w:val="20"/>
                <w:szCs w:val="20"/>
                <w:color w:val="auto"/>
              </w:rPr>
            </w:pPr>
            <w:r>
              <w:rPr>
                <w:rFonts w:ascii="Times New Roman" w:cs="Times New Roman" w:eastAsia="Times New Roman" w:hAnsi="Times New Roman"/>
                <w:sz w:val="22"/>
                <w:szCs w:val="22"/>
                <w:color w:val="auto"/>
                <w:w w:val="99"/>
              </w:rPr>
              <w:t>assumptions published in the Company’s most recent periodic report with such information as of the</w:t>
            </w:r>
          </w:p>
        </w:tc>
      </w:tr>
      <w:tr>
        <w:trPr>
          <w:trHeight w:val="249"/>
        </w:trPr>
        <w:tc>
          <w:tcPr>
            <w:tcW w:w="2220" w:type="dxa"/>
            <w:vAlign w:val="bottom"/>
          </w:tcPr>
          <w:p>
            <w:pPr>
              <w:spacing w:after="0"/>
              <w:rPr>
                <w:sz w:val="21"/>
                <w:szCs w:val="21"/>
                <w:color w:val="auto"/>
              </w:rPr>
            </w:pPr>
          </w:p>
        </w:tc>
        <w:tc>
          <w:tcPr>
            <w:tcW w:w="9020" w:type="dxa"/>
            <w:vAlign w:val="bottom"/>
          </w:tcPr>
          <w:p>
            <w:pPr>
              <w:ind w:left="160"/>
              <w:spacing w:after="0" w:line="249" w:lineRule="exact"/>
              <w:rPr>
                <w:sz w:val="20"/>
                <w:szCs w:val="20"/>
                <w:color w:val="auto"/>
              </w:rPr>
            </w:pPr>
            <w:r>
              <w:rPr>
                <w:rFonts w:ascii="Times New Roman" w:cs="Times New Roman" w:eastAsia="Times New Roman" w:hAnsi="Times New Roman"/>
                <w:sz w:val="22"/>
                <w:szCs w:val="22"/>
                <w:color w:val="auto"/>
              </w:rPr>
              <w:t>date of grant, rounded down to the nearest whole share (the “</w:t>
            </w:r>
            <w:r>
              <w:rPr>
                <w:rFonts w:ascii="Times New Roman" w:cs="Times New Roman" w:eastAsia="Times New Roman" w:hAnsi="Times New Roman"/>
                <w:sz w:val="22"/>
                <w:szCs w:val="22"/>
                <w:b w:val="1"/>
                <w:bCs w:val="1"/>
                <w:i w:val="1"/>
                <w:iCs w:val="1"/>
                <w:color w:val="auto"/>
              </w:rPr>
              <w:t>Initial Option</w:t>
            </w:r>
            <w:r>
              <w:rPr>
                <w:rFonts w:ascii="Times New Roman" w:cs="Times New Roman" w:eastAsia="Times New Roman" w:hAnsi="Times New Roman"/>
                <w:sz w:val="22"/>
                <w:szCs w:val="22"/>
                <w:color w:val="auto"/>
              </w:rPr>
              <w:t>”), and (B) RSUs under</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Plan or any other applicable Company equity incentive plan then maintained by the Company</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covering a number of shares of Common Stock calculated by dividing: (x) $87,500 by (y) the per</w:t>
            </w:r>
          </w:p>
        </w:tc>
      </w:tr>
      <w:tr>
        <w:trPr>
          <w:trHeight w:val="237"/>
        </w:trPr>
        <w:tc>
          <w:tcPr>
            <w:tcW w:w="2220" w:type="dxa"/>
            <w:vAlign w:val="bottom"/>
          </w:tcPr>
          <w:p>
            <w:pPr>
              <w:spacing w:after="0"/>
              <w:rPr>
                <w:sz w:val="20"/>
                <w:szCs w:val="20"/>
                <w:color w:val="auto"/>
              </w:rPr>
            </w:pPr>
          </w:p>
        </w:tc>
        <w:tc>
          <w:tcPr>
            <w:tcW w:w="9020" w:type="dxa"/>
            <w:vAlign w:val="bottom"/>
          </w:tcPr>
          <w:p>
            <w:pPr>
              <w:ind w:left="160"/>
              <w:spacing w:after="0" w:line="237" w:lineRule="exact"/>
              <w:rPr>
                <w:sz w:val="20"/>
                <w:szCs w:val="20"/>
                <w:color w:val="auto"/>
              </w:rPr>
            </w:pPr>
            <w:r>
              <w:rPr>
                <w:rFonts w:ascii="Times New Roman" w:cs="Times New Roman" w:eastAsia="Times New Roman" w:hAnsi="Times New Roman"/>
                <w:sz w:val="22"/>
                <w:szCs w:val="22"/>
                <w:color w:val="auto"/>
              </w:rPr>
              <w:t>share Fair Market Value as of the date of grant (or if the date of grant is not a trading day, the</w:t>
            </w:r>
          </w:p>
        </w:tc>
      </w:tr>
      <w:tr>
        <w:trPr>
          <w:trHeight w:val="288"/>
        </w:trPr>
        <w:tc>
          <w:tcPr>
            <w:tcW w:w="2220" w:type="dxa"/>
            <w:vAlign w:val="bottom"/>
          </w:tcPr>
          <w:p>
            <w:pPr>
              <w:spacing w:after="0"/>
              <w:rPr>
                <w:sz w:val="24"/>
                <w:szCs w:val="24"/>
                <w:color w:val="auto"/>
              </w:rPr>
            </w:pPr>
          </w:p>
        </w:tc>
        <w:tc>
          <w:tcPr>
            <w:tcW w:w="9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immediately preceding trading day), rounded down to the nearest whole share (the “</w:t>
            </w:r>
            <w:r>
              <w:rPr>
                <w:rFonts w:ascii="Times New Roman" w:cs="Times New Roman" w:eastAsia="Times New Roman" w:hAnsi="Times New Roman"/>
                <w:sz w:val="22"/>
                <w:szCs w:val="22"/>
                <w:b w:val="1"/>
                <w:bCs w:val="1"/>
                <w:i w:val="1"/>
                <w:iCs w:val="1"/>
                <w:color w:val="auto"/>
              </w:rPr>
              <w:t>Initial RSU</w:t>
            </w:r>
            <w:r>
              <w:rPr>
                <w:rFonts w:ascii="Times New Roman" w:cs="Times New Roman" w:eastAsia="Times New Roman" w:hAnsi="Times New Roman"/>
                <w:sz w:val="22"/>
                <w:szCs w:val="22"/>
                <w:color w:val="auto"/>
              </w:rPr>
              <w:t>”).</w:t>
            </w:r>
          </w:p>
        </w:tc>
      </w:tr>
      <w:tr>
        <w:trPr>
          <w:trHeight w:val="420"/>
        </w:trPr>
        <w:tc>
          <w:tcPr>
            <w:tcW w:w="2220" w:type="dxa"/>
            <w:vAlign w:val="bottom"/>
          </w:tcPr>
          <w:p>
            <w:pPr>
              <w:spacing w:after="0"/>
              <w:rPr>
                <w:sz w:val="24"/>
                <w:szCs w:val="24"/>
                <w:color w:val="auto"/>
              </w:rPr>
            </w:pPr>
          </w:p>
        </w:tc>
        <w:tc>
          <w:tcPr>
            <w:tcW w:w="9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The Initial Option will be automatically granted on the date on which such Non-Employee Director</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commences service on the Board, and will vest as to 1/36th of the shares subject thereto on each</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monthly anniversary of the applicable date of grant such that the shares subject to the Initial Option</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are fully vested on the third anniversary of the date of grant, subject to the Non-Employee Director</w:t>
            </w:r>
          </w:p>
        </w:tc>
      </w:tr>
      <w:tr>
        <w:trPr>
          <w:trHeight w:val="282"/>
        </w:trPr>
        <w:tc>
          <w:tcPr>
            <w:tcW w:w="2220" w:type="dxa"/>
            <w:vAlign w:val="bottom"/>
          </w:tcPr>
          <w:p>
            <w:pPr>
              <w:spacing w:after="0"/>
              <w:rPr>
                <w:sz w:val="24"/>
                <w:szCs w:val="24"/>
                <w:color w:val="auto"/>
              </w:rPr>
            </w:pPr>
          </w:p>
        </w:tc>
        <w:tc>
          <w:tcPr>
            <w:tcW w:w="9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continuing in service on the Board through each such vesting date.</w:t>
            </w:r>
          </w:p>
        </w:tc>
      </w:tr>
      <w:tr>
        <w:trPr>
          <w:trHeight w:val="397"/>
        </w:trPr>
        <w:tc>
          <w:tcPr>
            <w:tcW w:w="2220" w:type="dxa"/>
            <w:vAlign w:val="bottom"/>
          </w:tcPr>
          <w:p>
            <w:pPr>
              <w:spacing w:after="0"/>
              <w:rPr>
                <w:sz w:val="24"/>
                <w:szCs w:val="24"/>
                <w:color w:val="auto"/>
              </w:rPr>
            </w:pPr>
          </w:p>
        </w:tc>
        <w:tc>
          <w:tcPr>
            <w:tcW w:w="9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The Initial RSU will be automatically granted on the date on which such Non-Employee Director</w:t>
            </w:r>
          </w:p>
        </w:tc>
      </w:tr>
      <w:tr>
        <w:trPr>
          <w:trHeight w:val="266"/>
        </w:trPr>
        <w:tc>
          <w:tcPr>
            <w:tcW w:w="2220" w:type="dxa"/>
            <w:vAlign w:val="bottom"/>
          </w:tcPr>
          <w:p>
            <w:pPr>
              <w:spacing w:after="0"/>
              <w:rPr>
                <w:sz w:val="23"/>
                <w:szCs w:val="23"/>
                <w:color w:val="auto"/>
              </w:rPr>
            </w:pPr>
          </w:p>
        </w:tc>
        <w:tc>
          <w:tcPr>
            <w:tcW w:w="9020" w:type="dxa"/>
            <w:vAlign w:val="bottom"/>
          </w:tcPr>
          <w:p>
            <w:pPr>
              <w:ind w:left="160"/>
              <w:spacing w:after="0" w:line="266" w:lineRule="exact"/>
              <w:rPr>
                <w:sz w:val="20"/>
                <w:szCs w:val="20"/>
                <w:color w:val="auto"/>
              </w:rPr>
            </w:pPr>
            <w:r>
              <w:rPr>
                <w:rFonts w:ascii="Times New Roman" w:cs="Times New Roman" w:eastAsia="Times New Roman" w:hAnsi="Times New Roman"/>
                <w:sz w:val="22"/>
                <w:szCs w:val="22"/>
                <w:color w:val="auto"/>
              </w:rPr>
              <w:t>commences service on the Board, and will vest as to 1/3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of the shares subject thereto on each one-</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year anniversary of the applicable date of grant such that the shares subject to the Initial RSU are</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fully vested on the third anniversary of the date of grant, subject to the Non-Employee Director</w:t>
            </w:r>
          </w:p>
        </w:tc>
      </w:tr>
      <w:tr>
        <w:trPr>
          <w:trHeight w:val="282"/>
        </w:trPr>
        <w:tc>
          <w:tcPr>
            <w:tcW w:w="2220" w:type="dxa"/>
            <w:vAlign w:val="bottom"/>
          </w:tcPr>
          <w:p>
            <w:pPr>
              <w:spacing w:after="0"/>
              <w:rPr>
                <w:sz w:val="24"/>
                <w:szCs w:val="24"/>
                <w:color w:val="auto"/>
              </w:rPr>
            </w:pPr>
          </w:p>
        </w:tc>
        <w:tc>
          <w:tcPr>
            <w:tcW w:w="9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continuing in service on the Board through each such vesting date.</w:t>
            </w:r>
          </w:p>
        </w:tc>
      </w:tr>
      <w:tr>
        <w:trPr>
          <w:trHeight w:val="414"/>
        </w:trPr>
        <w:tc>
          <w:tcPr>
            <w:tcW w:w="2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Annual Stock Option</w:t>
            </w:r>
          </w:p>
        </w:tc>
        <w:tc>
          <w:tcPr>
            <w:tcW w:w="9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Each Non-Employee Director who (i) has been serving on the Board for at least four months as of</w:t>
            </w:r>
          </w:p>
        </w:tc>
      </w:tr>
      <w:tr>
        <w:trPr>
          <w:trHeight w:val="249"/>
        </w:trPr>
        <w:tc>
          <w:tcPr>
            <w:tcW w:w="2220" w:type="dxa"/>
            <w:vAlign w:val="bottom"/>
          </w:tcPr>
          <w:p>
            <w:pPr>
              <w:ind w:left="120"/>
              <w:spacing w:after="0" w:line="249" w:lineRule="exact"/>
              <w:rPr>
                <w:sz w:val="20"/>
                <w:szCs w:val="20"/>
                <w:color w:val="auto"/>
              </w:rPr>
            </w:pPr>
            <w:r>
              <w:rPr>
                <w:rFonts w:ascii="Times New Roman" w:cs="Times New Roman" w:eastAsia="Times New Roman" w:hAnsi="Times New Roman"/>
                <w:sz w:val="22"/>
                <w:szCs w:val="22"/>
                <w:color w:val="auto"/>
              </w:rPr>
              <w:t>Grant and RSU Grant:</w:t>
            </w:r>
          </w:p>
        </w:tc>
        <w:tc>
          <w:tcPr>
            <w:tcW w:w="9020" w:type="dxa"/>
            <w:vAlign w:val="bottom"/>
          </w:tcPr>
          <w:p>
            <w:pPr>
              <w:ind w:left="160"/>
              <w:spacing w:after="0" w:line="249" w:lineRule="exact"/>
              <w:rPr>
                <w:sz w:val="20"/>
                <w:szCs w:val="20"/>
                <w:color w:val="auto"/>
              </w:rPr>
            </w:pPr>
            <w:r>
              <w:rPr>
                <w:rFonts w:ascii="Times New Roman" w:cs="Times New Roman" w:eastAsia="Times New Roman" w:hAnsi="Times New Roman"/>
                <w:sz w:val="22"/>
                <w:szCs w:val="22"/>
                <w:color w:val="auto"/>
              </w:rPr>
              <w:t>each meeting of the Company’s stockholders (each, an “</w:t>
            </w:r>
            <w:r>
              <w:rPr>
                <w:rFonts w:ascii="Times New Roman" w:cs="Times New Roman" w:eastAsia="Times New Roman" w:hAnsi="Times New Roman"/>
                <w:sz w:val="22"/>
                <w:szCs w:val="22"/>
                <w:b w:val="1"/>
                <w:bCs w:val="1"/>
                <w:i w:val="1"/>
                <w:iCs w:val="1"/>
                <w:color w:val="auto"/>
              </w:rPr>
              <w:t>Annual Meeting</w:t>
            </w:r>
            <w:r>
              <w:rPr>
                <w:rFonts w:ascii="Times New Roman" w:cs="Times New Roman" w:eastAsia="Times New Roman" w:hAnsi="Times New Roman"/>
                <w:sz w:val="22"/>
                <w:szCs w:val="22"/>
                <w:color w:val="auto"/>
              </w:rPr>
              <w:t>”) and (ii) will continue to</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serve as a Non-Employee Director immediately following such meeting shall be granted (A) an</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9"/>
              </w:rPr>
              <w:t>Option under the Plan or any other applicable Company equity incentive plan then maintained by the</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Company to purchase a number of shares of Common Stock calculated by dividing (I) $131,250 by</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(II) the per share grant date fair value of the Option, calculated based on the closing trading price of</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Common Stock as of the date of grant (or if the date of grant is not a trading day, the</w:t>
            </w:r>
          </w:p>
        </w:tc>
      </w:tr>
      <w:tr>
        <w:trPr>
          <w:trHeight w:val="243"/>
        </w:trPr>
        <w:tc>
          <w:tcPr>
            <w:tcW w:w="2220" w:type="dxa"/>
            <w:vAlign w:val="bottom"/>
          </w:tcPr>
          <w:p>
            <w:pPr>
              <w:spacing w:after="0"/>
              <w:rPr>
                <w:sz w:val="21"/>
                <w:szCs w:val="21"/>
                <w:color w:val="auto"/>
              </w:rPr>
            </w:pPr>
          </w:p>
        </w:tc>
        <w:tc>
          <w:tcPr>
            <w:tcW w:w="90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immediately preceding trading day) and using</w:t>
            </w:r>
          </w:p>
        </w:tc>
      </w:tr>
      <w:tr>
        <w:trPr>
          <w:trHeight w:val="282"/>
        </w:trPr>
        <w:tc>
          <w:tcPr>
            <w:tcW w:w="2220" w:type="dxa"/>
            <w:vAlign w:val="bottom"/>
          </w:tcPr>
          <w:p>
            <w:pPr>
              <w:spacing w:after="0"/>
              <w:rPr>
                <w:sz w:val="24"/>
                <w:szCs w:val="24"/>
                <w:color w:val="auto"/>
              </w:rPr>
            </w:pPr>
          </w:p>
        </w:tc>
        <w:tc>
          <w:tcPr>
            <w:tcW w:w="90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3</w:t>
            </w:r>
          </w:p>
        </w:tc>
      </w:tr>
      <w:tr>
        <w:trPr>
          <w:trHeight w:val="1291"/>
        </w:trPr>
        <w:tc>
          <w:tcPr>
            <w:tcW w:w="2220" w:type="dxa"/>
            <w:vAlign w:val="bottom"/>
            <w:tcBorders>
              <w:bottom w:val="single" w:sz="8" w:color="9A9A9A"/>
            </w:tcBorders>
          </w:tcPr>
          <w:p>
            <w:pPr>
              <w:spacing w:after="0"/>
              <w:rPr>
                <w:sz w:val="24"/>
                <w:szCs w:val="24"/>
                <w:color w:val="auto"/>
              </w:rPr>
            </w:pPr>
          </w:p>
        </w:tc>
        <w:tc>
          <w:tcPr>
            <w:tcW w:w="9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09" w:name="page210"/>
    <w:bookmarkEnd w:id="209"/>
    <w:p>
      <w:pPr>
        <w:ind w:left="2380"/>
        <w:spacing w:after="0" w:line="249" w:lineRule="auto"/>
        <w:rPr>
          <w:sz w:val="20"/>
          <w:szCs w:val="20"/>
          <w:color w:val="auto"/>
        </w:rPr>
      </w:pPr>
      <w:r>
        <w:rPr>
          <w:rFonts w:ascii="Times New Roman" w:cs="Times New Roman" w:eastAsia="Times New Roman" w:hAnsi="Times New Roman"/>
          <w:sz w:val="21"/>
          <w:szCs w:val="21"/>
          <w:color w:val="auto"/>
        </w:rPr>
        <w:t>assumptions published in the Company’s most recent periodic report with such information as of the date of grant, rounded down to the nearest whole share (the “</w:t>
      </w:r>
      <w:r>
        <w:rPr>
          <w:rFonts w:ascii="Times New Roman" w:cs="Times New Roman" w:eastAsia="Times New Roman" w:hAnsi="Times New Roman"/>
          <w:sz w:val="21"/>
          <w:szCs w:val="21"/>
          <w:b w:val="1"/>
          <w:bCs w:val="1"/>
          <w:i w:val="1"/>
          <w:iCs w:val="1"/>
          <w:color w:val="auto"/>
        </w:rPr>
        <w:t>Annual Option</w:t>
      </w:r>
      <w:r>
        <w:rPr>
          <w:rFonts w:ascii="Times New Roman" w:cs="Times New Roman" w:eastAsia="Times New Roman" w:hAnsi="Times New Roman"/>
          <w:sz w:val="21"/>
          <w:szCs w:val="21"/>
          <w:color w:val="auto"/>
        </w:rPr>
        <w:t>”), and (B) RSUs under the Plan or any other applicable Company equity incentive plan then maintained by the Company covering a number of shares of Common Stock calculated by dividing: (x) $43,750 by (y) the per share Fair Market Value as of the date of grant (or if the date of grant is not a trading day, the immediately preceding trading day), rounded down to the nearest whole share (the “</w:t>
      </w:r>
      <w:r>
        <w:rPr>
          <w:rFonts w:ascii="Times New Roman" w:cs="Times New Roman" w:eastAsia="Times New Roman" w:hAnsi="Times New Roman"/>
          <w:sz w:val="21"/>
          <w:szCs w:val="21"/>
          <w:b w:val="1"/>
          <w:bCs w:val="1"/>
          <w:i w:val="1"/>
          <w:iCs w:val="1"/>
          <w:color w:val="auto"/>
        </w:rPr>
        <w:t>Annual RSU</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2380" w:right="80"/>
        <w:spacing w:after="0" w:line="255" w:lineRule="auto"/>
        <w:rPr>
          <w:sz w:val="20"/>
          <w:szCs w:val="20"/>
          <w:color w:val="auto"/>
        </w:rPr>
      </w:pPr>
      <w:r>
        <w:rPr>
          <w:rFonts w:ascii="Times New Roman" w:cs="Times New Roman" w:eastAsia="Times New Roman" w:hAnsi="Times New Roman"/>
          <w:sz w:val="21"/>
          <w:szCs w:val="21"/>
          <w:color w:val="auto"/>
        </w:rPr>
        <w:t>Each of the Annual Option and the Annual RSU will be automatically granted on the date of the applicable Annual Meeting, and will vest in full on the earlier of (i) the first anniversary of the date of grant and (ii) immediately prior to the Annual Meeting following the date of grant, subject to the Non-Employee Director continuing in service on the Board through such vesting date.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per share exercise price of each Option granted to a Non-Employee Director shall equal the Fair Market Value of one share of Common Stock on the date the Option is granted.</w:t>
      </w:r>
    </w:p>
    <w:p>
      <w:pPr>
        <w:spacing w:after="0" w:line="15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term of each Option granted to a Non-Employee Director shall be ten years from the date the Option is granted, subject to earlier termination in connection with cessation of Board service unless the Non-Employee Director remains in Continuous Service with the Company or any parent or subsidiary of the Company upon such cessation of Board service.</w:t>
      </w:r>
    </w:p>
    <w:p>
      <w:pPr>
        <w:spacing w:after="0" w:line="17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Members of the Board who are employees of the Company or any parent or subsidiary of the Company who subsequently terminate their employment with the Company and any parent or subsidiary of the Company and remain on the Board will not receive an Initial Option or Initial RSU, but to the extent that they are otherwise eligible, will be eligible to receive, after termination from employment with the Company and any parent or subsidiary of the Company, Annual Options and Annual RSUs as described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 in Control</w:t>
      </w:r>
    </w:p>
    <w:p>
      <w:pPr>
        <w:spacing w:after="0" w:line="21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Reimbursements</w:t>
      </w:r>
    </w:p>
    <w:p>
      <w:pPr>
        <w:spacing w:after="0" w:line="212"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21"/>
          <w:szCs w:val="21"/>
          <w:color w:val="auto"/>
        </w:rPr>
        <w:t>The Company shall reimburse each Non-Employee Director for all reasonable, documented, out-of-pocket travel and other business expenses incurred by such Non-Employee Director in the performance of such director’s duties to the Company in accordance with the Company’s applicable expense reimbursement policies and procedures as in effect from time to time.</w:t>
      </w:r>
    </w:p>
    <w:p>
      <w:pPr>
        <w:spacing w:after="0" w:line="200" w:lineRule="exact"/>
        <w:rPr>
          <w:sz w:val="20"/>
          <w:szCs w:val="20"/>
          <w:color w:val="auto"/>
        </w:rPr>
      </w:pPr>
    </w:p>
    <w:p>
      <w:pPr>
        <w:spacing w:after="0" w:line="3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8" w:right="5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b w:val="1"/>
          <w:bCs w:val="1"/>
          <w:i w:val="1"/>
          <w:iCs w:val="1"/>
          <w:color w:val="auto"/>
        </w:rPr>
        <w:t>Miscellaneous</w:t>
      </w:r>
    </w:p>
    <w:p>
      <w:pPr>
        <w:spacing w:after="0" w:line="21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The grant of any Option under this Program shall be made solely by and subject to the terms set forth in a written agreement in a form to be approved by the Board (or the Compensation Committee) and duly executed by an executive officer of the Company.</w:t>
      </w:r>
    </w:p>
    <w:p>
      <w:pPr>
        <w:spacing w:after="0" w:line="1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 * * * *</w:t>
      </w: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02" w:right="619" w:bottom="1440" w:gutter="0" w:footer="0" w:header="0"/>
        </w:sectPr>
      </w:pPr>
    </w:p>
    <w:bookmarkStart w:id="211" w:name="page212"/>
    <w:bookmarkEnd w:id="211"/>
    <w:p>
      <w:pPr>
        <w:ind w:left="10120"/>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14"/>
          <w:szCs w:val="14"/>
          <w:b w:val="1"/>
          <w:bCs w:val="1"/>
          <w:color w:val="auto"/>
        </w:rPr>
        <w:t>yverna</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1.All Employees, Officers, Directors and their Family Members and Affiliates Are Subject to this Policy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Insider Trading Policy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applies to all employees, directors, officers and consultants of Kyverna Therapeutics, Inc., a Delaware corporation (“</w:t>
      </w:r>
      <w:r>
        <w:rPr>
          <w:rFonts w:ascii="Times New Roman" w:cs="Times New Roman" w:eastAsia="Times New Roman" w:hAnsi="Times New Roman"/>
          <w:sz w:val="22"/>
          <w:szCs w:val="22"/>
          <w:b w:val="1"/>
          <w:bCs w:val="1"/>
          <w:i w:val="1"/>
          <w:iCs w:val="1"/>
          <w:color w:val="auto"/>
        </w:rPr>
        <w:t>Kyverna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their family members and entities over which such individuals have or share voting or investment control. This Policy also applies to any other person who receives material nonpublic information (as defined below) from any Kyverna insider, or is otherwise designated by the Compliance Officer (as defined below). For purposes of this Policy, “</w:t>
      </w:r>
      <w:r>
        <w:rPr>
          <w:rFonts w:ascii="Times New Roman" w:cs="Times New Roman" w:eastAsia="Times New Roman" w:hAnsi="Times New Roman"/>
          <w:sz w:val="22"/>
          <w:szCs w:val="22"/>
          <w:b w:val="1"/>
          <w:bCs w:val="1"/>
          <w:i w:val="1"/>
          <w:iCs w:val="1"/>
          <w:color w:val="auto"/>
        </w:rPr>
        <w:t>family members</w:t>
      </w:r>
      <w:r>
        <w:rPr>
          <w:rFonts w:ascii="Times New Roman" w:cs="Times New Roman" w:eastAsia="Times New Roman" w:hAnsi="Times New Roman"/>
          <w:sz w:val="22"/>
          <w:szCs w:val="22"/>
          <w:color w:val="auto"/>
        </w:rPr>
        <w:t>” include immediate family, people who live with you or are financially dependent on you and include family members who live elsewhere but whose transactions in securities are directed by you or are subject to your influence or control. For purposes of this Policy, an “officer” means an “officer” as defined under Rule 16a-1(f) under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Every director, officer and employee of the Company has the individual responsibility (and must take appropriate measures to cause such person’s family members) to comply with this Policy regardless of whether a transaction is executed outside a blackout period or is pre-cleared by the Compliance Officer. The restrictions and procedures are intended to help avoid inadvertent instances of improper insider trading, but appropriate judgment should always be exercised by each director, officer and employee of the Company in connection with any transaction in the Company’s securities. </w:t>
      </w:r>
      <w:r>
        <w:rPr>
          <w:rFonts w:ascii="Times New Roman" w:cs="Times New Roman" w:eastAsia="Times New Roman" w:hAnsi="Times New Roman"/>
          <w:sz w:val="22"/>
          <w:szCs w:val="22"/>
          <w:b w:val="1"/>
          <w:bCs w:val="1"/>
          <w:color w:val="auto"/>
        </w:rPr>
        <w:t>Employees, officers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directors of the Company are responsible for ensuring compliance with this Policy by their family members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This Policy continues to apply following termination of employment or other relationship with Kyverna until after the </w:t>
      </w:r>
      <w:r>
        <w:rPr>
          <w:rFonts w:ascii="Times New Roman" w:cs="Times New Roman" w:eastAsia="Times New Roman" w:hAnsi="Times New Roman"/>
          <w:sz w:val="22"/>
          <w:szCs w:val="22"/>
          <w:b w:val="1"/>
          <w:bCs w:val="1"/>
          <w:color w:val="auto"/>
        </w:rPr>
        <w:t xml:space="preserve">second </w:t>
      </w:r>
      <w:r>
        <w:rPr>
          <w:rFonts w:ascii="Times New Roman" w:cs="Times New Roman" w:eastAsia="Times New Roman" w:hAnsi="Times New Roman"/>
          <w:sz w:val="22"/>
          <w:szCs w:val="22"/>
          <w:color w:val="auto"/>
        </w:rPr>
        <w:t>trading day that any material non-public information in your possession has become public or is no longer material.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employee, officer, consultant and director is </w:t>
      </w:r>
      <w:r>
        <w:rPr>
          <w:rFonts w:ascii="Times New Roman" w:cs="Times New Roman" w:eastAsia="Times New Roman" w:hAnsi="Times New Roman"/>
          <w:sz w:val="22"/>
          <w:szCs w:val="22"/>
          <w:i w:val="1"/>
          <w:iCs w:val="1"/>
          <w:u w:val="single" w:color="auto"/>
          <w:color w:val="auto"/>
        </w:rPr>
        <w:t>personally responsible</w:t>
      </w:r>
      <w:r>
        <w:rPr>
          <w:rFonts w:ascii="Times New Roman" w:cs="Times New Roman" w:eastAsia="Times New Roman" w:hAnsi="Times New Roman"/>
          <w:sz w:val="22"/>
          <w:szCs w:val="22"/>
          <w:color w:val="auto"/>
        </w:rPr>
        <w:t xml:space="preserve"> for the actions of their family members and other persons with whom they have a relationship who are subject to this Policy, including any pre-clearances required.</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As used in this Policy, the term “</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shall mean a day on which The Nasdaq Stock Market LLC (“</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or the primary quotation system or national securities exchange on which the Company’s common stock is then traded or listed is open for trading. As used in this Policy, the term “</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shall mean a day on which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”)’s EDGAR system will receive and accept filings.</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Section 2.Trading in Kyverna Securities While in Possession of Material Nonpublic Information is Prohibited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purchase or sale of securities by any person who possesses material nonpublic information is a violation of U.S. federal and state securities laws. It is important to avoid the </w:t>
      </w:r>
      <w:r>
        <w:rPr>
          <w:rFonts w:ascii="Times New Roman" w:cs="Times New Roman" w:eastAsia="Times New Roman" w:hAnsi="Times New Roman"/>
          <w:sz w:val="22"/>
          <w:szCs w:val="22"/>
          <w:i w:val="1"/>
          <w:iCs w:val="1"/>
          <w:color w:val="auto"/>
        </w:rPr>
        <w:t>appearance</w:t>
      </w:r>
      <w:r>
        <w:rPr>
          <w:rFonts w:ascii="Times New Roman" w:cs="Times New Roman" w:eastAsia="Times New Roman" w:hAnsi="Times New Roman"/>
          <w:sz w:val="22"/>
          <w:szCs w:val="22"/>
          <w:color w:val="auto"/>
        </w:rPr>
        <w:t>, as well as the fact, of trading based on material nonpublic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12" w:name="page213"/>
    <w:bookmarkEnd w:id="212"/>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 person subject to this Policy who is aware of material nonpublic information relating to Kyverna may, directly or indirectly (through family members, other persons, entities or otherwise), buy, sell or otherwise trade in the securities of Kyverna, or advise anyone else to do so, other than pursuant to a trading plan that complies with Rule 10b5-1 promulgated by the SEC or as specifically exempted in Section 10(B) of this Policy, or otherwise engage in any action to take personal advantage of that information during any period commencing on the date that the person possesses material nonpublic information and ending at the close of business on the second trading day following the date of public disclosure of such information, or at such time as such nonpublic information is no longer material. For purposes of this Policy, the term “</w:t>
      </w:r>
      <w:r>
        <w:rPr>
          <w:rFonts w:ascii="Times New Roman" w:cs="Times New Roman" w:eastAsia="Times New Roman" w:hAnsi="Times New Roman"/>
          <w:sz w:val="22"/>
          <w:szCs w:val="22"/>
          <w:b w:val="1"/>
          <w:bCs w:val="1"/>
          <w:i w:val="1"/>
          <w:iCs w:val="1"/>
          <w:color w:val="auto"/>
        </w:rPr>
        <w:t>trade</w:t>
      </w:r>
      <w:r>
        <w:rPr>
          <w:rFonts w:ascii="Times New Roman" w:cs="Times New Roman" w:eastAsia="Times New Roman" w:hAnsi="Times New Roman"/>
          <w:sz w:val="22"/>
          <w:szCs w:val="22"/>
          <w:color w:val="auto"/>
        </w:rPr>
        <w:t>” includes any transaction in Kyverna securities, including gifts and pledges.</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person subject to this Policy may, from time to time, have to forego a proposed transaction, even if they planned to make the transaction before learning material nonpublic information and even if they may suffer economic loss or forego anticipated profit by waiting.</w:t>
      </w:r>
    </w:p>
    <w:p>
      <w:pPr>
        <w:spacing w:after="0" w:line="16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3.Trading in Other Public Companies’ Securities While in Possession of Material Nonpublic Information is Prohibited</w:t>
      </w:r>
      <w:r>
        <w:rPr>
          <w:rFonts w:ascii="Times New Roman" w:cs="Times New Roman" w:eastAsia="Times New Roman" w:hAnsi="Times New Roman"/>
          <w:sz w:val="22"/>
          <w:szCs w:val="22"/>
          <w:color w:val="auto"/>
        </w:rPr>
        <w:t>. No person subject to this Policy who possesses material nonpublic information relating to other publicly traded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companies, including our vendors, customers and partners, as a result of employment with Kyverna or the performance of services on our behalf, may, directly or indirectly (through family members, other persons, entities or otherwise), buy or sell securities of such companies, or advise anyone else to do so, or otherwise engage in any action to take personal advantage of that information. Civil and criminal penalties and termination of employment or removal from our Board of Directors (the “</w:t>
      </w:r>
      <w:r>
        <w:rPr>
          <w:rFonts w:ascii="Times New Roman" w:cs="Times New Roman" w:eastAsia="Times New Roman" w:hAnsi="Times New Roman"/>
          <w:sz w:val="22"/>
          <w:szCs w:val="22"/>
          <w:b w:val="1"/>
          <w:bCs w:val="1"/>
          <w:i w:val="1"/>
          <w:iCs w:val="1"/>
          <w:color w:val="auto"/>
        </w:rPr>
        <w:t>Board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Directors</w:t>
      </w:r>
      <w:r>
        <w:rPr>
          <w:rFonts w:ascii="Times New Roman" w:cs="Times New Roman" w:eastAsia="Times New Roman" w:hAnsi="Times New Roman"/>
          <w:sz w:val="22"/>
          <w:szCs w:val="22"/>
          <w:color w:val="auto"/>
        </w:rPr>
        <w:t>”) may result from trading on inside information regarding the Company’s business partners. All Company employees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should treat material nonpublic information about the Company’s business partners with the same care required with respect to information related directly to the Company.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4.Certain Types of Transactions Are Prohibited</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1505"/>
        <w:spacing w:after="0" w:line="257" w:lineRule="auto"/>
        <w:tabs>
          <w:tab w:leader="none" w:pos="203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Short Sales</w:t>
      </w:r>
      <w:r>
        <w:rPr>
          <w:rFonts w:ascii="Times New Roman" w:cs="Times New Roman" w:eastAsia="Times New Roman" w:hAnsi="Times New Roman"/>
          <w:sz w:val="21"/>
          <w:szCs w:val="21"/>
          <w:color w:val="auto"/>
        </w:rPr>
        <w:t>. Short sales of Kyverna securities, including a “sale against the box”, are prohibited, as short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sales evidence the seller’s expectation that Kyverna securities will decline in value, signal to the market that the seller has no confidence in the Company or its short-term prospects, and may reduce the seller’s incentive to improve Kyverna performance. In addition, Section 16(c) of the Exchange Act expressly prohibits certain officers and directors from engaging in short sales.</w:t>
      </w:r>
    </w:p>
    <w:p>
      <w:pPr>
        <w:spacing w:after="0" w:line="153" w:lineRule="exact"/>
        <w:rPr>
          <w:rFonts w:ascii="Times New Roman" w:cs="Times New Roman" w:eastAsia="Times New Roman" w:hAnsi="Times New Roman"/>
          <w:sz w:val="21"/>
          <w:szCs w:val="21"/>
          <w:color w:val="auto"/>
        </w:rPr>
      </w:pPr>
    </w:p>
    <w:p>
      <w:pPr>
        <w:jc w:val="both"/>
        <w:ind w:firstLine="1505"/>
        <w:spacing w:after="0" w:line="241"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Publicly Traded Options</w:t>
      </w:r>
      <w:r>
        <w:rPr>
          <w:rFonts w:ascii="Times New Roman" w:cs="Times New Roman" w:eastAsia="Times New Roman" w:hAnsi="Times New Roman"/>
          <w:sz w:val="22"/>
          <w:szCs w:val="22"/>
          <w:color w:val="auto"/>
        </w:rPr>
        <w:t>. Transactions in puts, calls or other derivative securities involving Kyverna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are prohibited, as any such transaction is, in effect, a bet on the short-term movement of the Company’s stock, creates the appearance of trading based on inside information and may focus attention on short-term performance at the expense of Kyverna long-term objectives.</w:t>
      </w:r>
    </w:p>
    <w:p>
      <w:pPr>
        <w:spacing w:after="0" w:line="171" w:lineRule="exact"/>
        <w:rPr>
          <w:rFonts w:ascii="Times New Roman" w:cs="Times New Roman" w:eastAsia="Times New Roman" w:hAnsi="Times New Roman"/>
          <w:sz w:val="22"/>
          <w:szCs w:val="22"/>
          <w:color w:val="auto"/>
        </w:rPr>
      </w:pPr>
    </w:p>
    <w:p>
      <w:pPr>
        <w:jc w:val="both"/>
        <w:ind w:firstLine="1505"/>
        <w:spacing w:after="0" w:line="264" w:lineRule="auto"/>
        <w:tabs>
          <w:tab w:leader="none" w:pos="203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Hedging Transactions</w:t>
      </w:r>
      <w:r>
        <w:rPr>
          <w:rFonts w:ascii="Times New Roman" w:cs="Times New Roman" w:eastAsia="Times New Roman" w:hAnsi="Times New Roman"/>
          <w:sz w:val="21"/>
          <w:szCs w:val="21"/>
          <w:color w:val="auto"/>
        </w:rPr>
        <w:t>. Hedging or monetization transactions (including, but not limited to, zero-cost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collars, prepaid variable forwards, equity swaps, puts, calls, collars, forwards and other derivative instruments) are prohibited, as such transactions allow you to continue to own Kyverna securities without the full risks and rewards of ownership. When that</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3" w:name="page214"/>
    <w:bookmarkEnd w:id="213"/>
    <w:p>
      <w:pPr>
        <w:jc w:val="both"/>
        <w:spacing w:after="0" w:line="244" w:lineRule="auto"/>
        <w:rPr>
          <w:sz w:val="20"/>
          <w:szCs w:val="20"/>
          <w:color w:val="auto"/>
        </w:rPr>
      </w:pPr>
      <w:r>
        <w:rPr>
          <w:rFonts w:ascii="Times New Roman" w:cs="Times New Roman" w:eastAsia="Times New Roman" w:hAnsi="Times New Roman"/>
          <w:sz w:val="22"/>
          <w:szCs w:val="22"/>
          <w:color w:val="auto"/>
        </w:rPr>
        <w:t>occurs, your interests and the interests of Kyverna and its stockholders may be misaligned and may signal a message to the trading market when disclosed in Section 16 reports that may not be in the best interests of Kyverna and its stockholders at the time it is conveyed.</w:t>
      </w:r>
    </w:p>
    <w:p>
      <w:pPr>
        <w:spacing w:after="0" w:line="167" w:lineRule="exact"/>
        <w:rPr>
          <w:sz w:val="20"/>
          <w:szCs w:val="20"/>
          <w:color w:val="auto"/>
        </w:rPr>
      </w:pPr>
    </w:p>
    <w:p>
      <w:pPr>
        <w:jc w:val="both"/>
        <w:ind w:firstLine="1505"/>
        <w:spacing w:after="0" w:line="241"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Margin Accounts and Pledges</w:t>
      </w:r>
      <w:r>
        <w:rPr>
          <w:rFonts w:ascii="Times New Roman" w:cs="Times New Roman" w:eastAsia="Times New Roman" w:hAnsi="Times New Roman"/>
          <w:sz w:val="22"/>
          <w:szCs w:val="22"/>
          <w:color w:val="auto"/>
        </w:rPr>
        <w:t>. Directors, officers and other employees are prohibited from holding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securities in a margin account or pledging Company securities as collateral for a loan, as such securities may be traded without your consent (for failing to meet a margin call or if you default on the loan) at a time when you possess material nonpublic information or otherwise are not permitted to trade.</w:t>
      </w:r>
    </w:p>
    <w:p>
      <w:pPr>
        <w:spacing w:after="0" w:line="17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Standing Orders</w:t>
      </w:r>
      <w:r>
        <w:rPr>
          <w:rFonts w:ascii="Times New Roman" w:cs="Times New Roman" w:eastAsia="Times New Roman" w:hAnsi="Times New Roman"/>
          <w:sz w:val="22"/>
          <w:szCs w:val="22"/>
          <w:color w:val="auto"/>
        </w:rPr>
        <w:t>. Standing orders should be used only for a very brief period of time. A standing order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placed with a broker or other nominee to sell or purchase stock at a specified price leaves an employee, officer or director of the Company with no control over the timing of the transaction. A standing order transaction executed by the broker or other nominee when such employee, officer or director of the Company is aware of material nonpublic information may result in unlawful insider trading.</w:t>
      </w:r>
    </w:p>
    <w:p>
      <w:pPr>
        <w:spacing w:after="0" w:line="171"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Gifts</w:t>
      </w:r>
      <w:r>
        <w:rPr>
          <w:rFonts w:ascii="Times New Roman" w:cs="Times New Roman" w:eastAsia="Times New Roman" w:hAnsi="Times New Roman"/>
          <w:sz w:val="22"/>
          <w:szCs w:val="22"/>
          <w:color w:val="auto"/>
        </w:rPr>
        <w:t>. Because charitable and other nonprofit organizations may sell securities given to them very soon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after receiving them, and because there is also the potential for manipulation (or perceived manipulation) by the donor to gain a larger tax deduction by donating securities before the release of material negative news, charitable gifts may not be made at a time when the donor is aware of material nonpublic information.</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Section 5.Sharing Material Nonpublic Information is Prohibited</w:t>
      </w:r>
      <w:r>
        <w:rPr>
          <w:rFonts w:ascii="Times New Roman" w:cs="Times New Roman" w:eastAsia="Times New Roman" w:hAnsi="Times New Roman"/>
          <w:sz w:val="22"/>
          <w:szCs w:val="22"/>
          <w:color w:val="auto"/>
        </w:rPr>
        <w:t>. No person subject to this Policy who possesses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nonpublic information relating to Kyverna or any other publicly traded companies may directly or indirectly (through family members, other persons, entities or otherwise) pass that information on to others outside the Company, including friends, family or other acquaintances (referred to as “</w:t>
      </w: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22"/>
          <w:szCs w:val="22"/>
          <w:color w:val="auto"/>
        </w:rPr>
        <w:t>”) until such information has been disseminated to the public. You must treat material nonpublic information about our business partners with the same care required with respect to such information related directly to Kyverna.</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Tipping includes passing information under circumstances that could suggest that you were trying to help another profit or avoid a loss. Exercise care when speaking with others who do not “</w:t>
      </w:r>
      <w:r>
        <w:rPr>
          <w:rFonts w:ascii="Times New Roman" w:cs="Times New Roman" w:eastAsia="Times New Roman" w:hAnsi="Times New Roman"/>
          <w:sz w:val="22"/>
          <w:szCs w:val="22"/>
          <w:b w:val="1"/>
          <w:bCs w:val="1"/>
          <w:i w:val="1"/>
          <w:iCs w:val="1"/>
          <w:color w:val="auto"/>
        </w:rPr>
        <w:t>need to know</w:t>
      </w:r>
      <w:r>
        <w:rPr>
          <w:rFonts w:ascii="Times New Roman" w:cs="Times New Roman" w:eastAsia="Times New Roman" w:hAnsi="Times New Roman"/>
          <w:sz w:val="22"/>
          <w:szCs w:val="22"/>
          <w:color w:val="auto"/>
        </w:rPr>
        <w:t>,” even if they are subject to this Policy, as well as when communicating with family, friends and others not associated with Kyverna. To avoid the appearance of impropriety, refrain from discussing our business or prospects or making recommendations about buying or selling our securities or the securities of other companies with which we have a relationship. Inquiries about Kyverna should be directed to our Corporate Communications or Legal teams.</w:t>
      </w:r>
    </w:p>
    <w:p>
      <w:pPr>
        <w:spacing w:after="0" w:line="177"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Section 6.Recommendations Regarding Trading in Company Securities are Prohibited</w:t>
      </w:r>
      <w:r>
        <w:rPr>
          <w:rFonts w:ascii="Times New Roman" w:cs="Times New Roman" w:eastAsia="Times New Roman" w:hAnsi="Times New Roman"/>
          <w:sz w:val="21"/>
          <w:szCs w:val="21"/>
          <w:color w:val="auto"/>
        </w:rPr>
        <w:t>. No person subject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Policy may make recommendations or express opinions on trading in Kyverna securities while in possession of material nonpublic information, except to advise others not to trade in Kyverna securities if doing so might violate the law or this Policy.</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7.Only Designated Company Spokespersons Are Authorized to Disclose Material Nonpublic Information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 federal securities laws prohibit the Company from selectively disclosing material nonpublic information. Kyverna has established procedures for</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4" w:name="page215"/>
    <w:bookmarkEnd w:id="214"/>
    <w:p>
      <w:pPr>
        <w:jc w:val="both"/>
        <w:spacing w:after="0" w:line="238" w:lineRule="auto"/>
        <w:rPr>
          <w:sz w:val="20"/>
          <w:szCs w:val="20"/>
          <w:color w:val="auto"/>
        </w:rPr>
      </w:pPr>
      <w:r>
        <w:rPr>
          <w:rFonts w:ascii="Times New Roman" w:cs="Times New Roman" w:eastAsia="Times New Roman" w:hAnsi="Times New Roman"/>
          <w:sz w:val="22"/>
          <w:szCs w:val="22"/>
          <w:color w:val="auto"/>
        </w:rPr>
        <w:t>releasing material information in a manner that is designed to achieve broad dissemination of the information immediately upon its release. Employees may not, therefore, disclose material nonpublic information to anyone outside the Company, including family members and friends, other than in accordance with those established procedures. Any inquiries about the Company should be directed to our Corporate Communications team. Additionally, the Company’s legal advisors will be involved in handling legal matters that may involve certain disclosures.</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8.Employees Must Follow Company Guidelines Pertaining to Electronic Communications</w:t>
      </w:r>
      <w:r>
        <w:rPr>
          <w:rFonts w:ascii="Times New Roman" w:cs="Times New Roman" w:eastAsia="Times New Roman" w:hAnsi="Times New Roman"/>
          <w:sz w:val="22"/>
          <w:szCs w:val="22"/>
          <w:color w:val="auto"/>
        </w:rPr>
        <w:t>.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follow the Kyverna Disclosure and Regulation FD Policy before participating in any Internet electronic communication forums concerning the Company.</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Section 9.Rule 10b5-1 Trading Plans</w:t>
      </w:r>
      <w:r>
        <w:rPr>
          <w:rFonts w:ascii="Times New Roman" w:cs="Times New Roman" w:eastAsia="Times New Roman" w:hAnsi="Times New Roman"/>
          <w:sz w:val="22"/>
          <w:szCs w:val="22"/>
          <w:color w:val="auto"/>
        </w:rPr>
        <w:t>. SEC Rule 10b5-1 provides an affirmative defense from insider trading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federal securities laws for trading plans that meet certain requirements. It does not prevent someone from bringing a lawsuit. This Policy permits individuals to adopt SEC Rule 10b5-1 trading plans with brokers that outline a pre-set plan for transacting in the Company’s securities, including the exercise of equity awards.</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As required by SEC Rule 10b5-1, a director, officer or other employee of the Company may implement, amend or terminate a trading plan under SEC Rule 10b5-1 only when the individual is not in possession of material nonpublic information and provided that such individual and trading plan comply with the provisions under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xml:space="preserve"> hereto. Any director, officer or other employee of the Company who wishes to implement a trading plan under SEC Rule 10b5-1 must first pre-clear the plan with the Compliance Officer at least four (4) days prior to the entry into the plan, and must also pre-clear any amendment to such plan and any termination of a plan in advance of its expiration date, with the Compliance Officer. Except as set forth above, no further pre-approval of transactions conducted pursuant to trading plan under SEC Rule 10b5-1 will be required. The terms of any trading plan under SEC Rule 10b5-1 adopted by an officer or director of the Company must be publicly disclosed by the Company in accordance with Item 408 of Regulation S-K promulgated by the SEC.</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Establishing a trading plan under SEC Rule 10b5-1 does not exempt transactions from the short-swing profit provisions of Section 16 of the Exchange Act.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10.Other Transactions in Company Securities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left="760" w:firstLine="745"/>
        <w:spacing w:after="0" w:line="241" w:lineRule="auto"/>
        <w:tabs>
          <w:tab w:leader="none" w:pos="20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General Rule</w:t>
      </w:r>
      <w:r>
        <w:rPr>
          <w:rFonts w:ascii="Times New Roman" w:cs="Times New Roman" w:eastAsia="Times New Roman" w:hAnsi="Times New Roman"/>
          <w:sz w:val="22"/>
          <w:szCs w:val="22"/>
          <w:color w:val="auto"/>
        </w:rPr>
        <w:t>. This Policy applies to all transactions in Kyverna securities, including any securities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may issue from time to time, such as preferred stock, warrants and convertible debentures, as well as to derivative securities relating to the Company’s stock, whether or not issued by Kyverna, such as exchange-traded options.</w:t>
      </w:r>
    </w:p>
    <w:p>
      <w:pPr>
        <w:spacing w:after="0" w:line="17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Exclusions</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jc w:val="both"/>
        <w:ind w:left="1500" w:firstLine="754"/>
        <w:spacing w:after="0" w:line="241" w:lineRule="auto"/>
        <w:tabs>
          <w:tab w:leader="none" w:pos="254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Equity Award Exercise</w:t>
      </w:r>
      <w:r>
        <w:rPr>
          <w:rFonts w:ascii="Times New Roman" w:cs="Times New Roman" w:eastAsia="Times New Roman" w:hAnsi="Times New Roman"/>
          <w:sz w:val="22"/>
          <w:szCs w:val="22"/>
          <w:color w:val="auto"/>
        </w:rPr>
        <w:t>. The trading restrictions set forth in this Policy do not apply to the exercise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stock options or other equity awards for cash under Kyverna’s equity incentive plans, including any net exercise of an equity award pursuant to which you have elected to have the Company withhold shares of stock to satisfy tax-withholding requirements or the exercise price of the equity</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5" w:name="page216"/>
    <w:bookmarkEnd w:id="215"/>
    <w:p>
      <w:pPr>
        <w:jc w:val="both"/>
        <w:ind w:left="740"/>
        <w:spacing w:after="0" w:line="244" w:lineRule="auto"/>
        <w:rPr>
          <w:sz w:val="20"/>
          <w:szCs w:val="20"/>
          <w:color w:val="auto"/>
        </w:rPr>
      </w:pPr>
      <w:r>
        <w:rPr>
          <w:rFonts w:ascii="Times New Roman" w:cs="Times New Roman" w:eastAsia="Times New Roman" w:hAnsi="Times New Roman"/>
          <w:sz w:val="22"/>
          <w:szCs w:val="22"/>
          <w:color w:val="auto"/>
        </w:rPr>
        <w:t>award, to be exempt from this Policy. This Policy does apply, however, to all sales of securities acquired through the exercise of stock options or other equity awards, including “</w:t>
      </w:r>
      <w:r>
        <w:rPr>
          <w:rFonts w:ascii="Times New Roman" w:cs="Times New Roman" w:eastAsia="Times New Roman" w:hAnsi="Times New Roman"/>
          <w:sz w:val="22"/>
          <w:szCs w:val="22"/>
          <w:b w:val="1"/>
          <w:bCs w:val="1"/>
          <w:i w:val="1"/>
          <w:iCs w:val="1"/>
          <w:color w:val="auto"/>
        </w:rPr>
        <w:t>same-day sale</w:t>
      </w:r>
      <w:r>
        <w:rPr>
          <w:rFonts w:ascii="Times New Roman" w:cs="Times New Roman" w:eastAsia="Times New Roman" w:hAnsi="Times New Roman"/>
          <w:sz w:val="22"/>
          <w:szCs w:val="22"/>
          <w:color w:val="auto"/>
        </w:rPr>
        <w:t>” or cashless exercise of Company stock options.</w:t>
      </w:r>
    </w:p>
    <w:p>
      <w:pPr>
        <w:spacing w:after="0" w:line="169" w:lineRule="exact"/>
        <w:rPr>
          <w:sz w:val="20"/>
          <w:szCs w:val="20"/>
          <w:color w:val="auto"/>
        </w:rPr>
      </w:pPr>
    </w:p>
    <w:p>
      <w:pPr>
        <w:jc w:val="both"/>
        <w:ind w:left="740" w:firstLine="754"/>
        <w:spacing w:after="0" w:line="238" w:lineRule="auto"/>
        <w:tabs>
          <w:tab w:leader="none" w:pos="178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Restricted Stock Awards; Restricted Stock Unit Awards</w:t>
      </w:r>
      <w:r>
        <w:rPr>
          <w:rFonts w:ascii="Times New Roman" w:cs="Times New Roman" w:eastAsia="Times New Roman" w:hAnsi="Times New Roman"/>
          <w:sz w:val="22"/>
          <w:szCs w:val="22"/>
          <w:color w:val="auto"/>
        </w:rPr>
        <w:t>. This Policy does not apply to the vesting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restricted stock or restricted stock units, or the exercise of a tax-withholding right pursuant to which an individual elects to have the Company withhold shares of stock to satisfy tax-withholding requirements upon the vesting of any restricted stock or restricted stock units. The Policy does apply, however, to any market sale of stock or restricted stock.</w:t>
      </w:r>
    </w:p>
    <w:p>
      <w:pPr>
        <w:spacing w:after="0" w:line="176" w:lineRule="exact"/>
        <w:rPr>
          <w:rFonts w:ascii="Times New Roman" w:cs="Times New Roman" w:eastAsia="Times New Roman" w:hAnsi="Times New Roman"/>
          <w:sz w:val="22"/>
          <w:szCs w:val="22"/>
          <w:color w:val="auto"/>
        </w:rPr>
      </w:pPr>
    </w:p>
    <w:p>
      <w:pPr>
        <w:jc w:val="both"/>
        <w:ind w:left="740" w:firstLine="754"/>
        <w:spacing w:after="0" w:line="235" w:lineRule="auto"/>
        <w:tabs>
          <w:tab w:leader="none" w:pos="178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401(k) Plan</w:t>
      </w:r>
      <w:r>
        <w:rPr>
          <w:rFonts w:ascii="Times New Roman" w:cs="Times New Roman" w:eastAsia="Times New Roman" w:hAnsi="Times New Roman"/>
          <w:sz w:val="22"/>
          <w:szCs w:val="22"/>
          <w:color w:val="auto"/>
        </w:rPr>
        <w:t>. This Policy does not apply to purchases of Company stock in the Company’s 401(k)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resulting from periodic contributions of money to the plan pursuant to payroll deduction elections. This Policy does apply, however, to certain elections that may be made under the 401(k) plan, including: (a) an election to increase or decrease the percentage of periodic contributions that will be allocated to the Company stock fund, if any; (b) an election to make an intra-plan transfer of an existing account balance into or out of the Company stock fund; (c) an election to borrow money against a 401(k) plan account if the loan will result in a liquidation of some or all of a participant’s Company stock fund balance; and (d) an election to pre-pay a plan loan if the pre-payment will result in allocation of loan proceeds to the Company stock fund.</w:t>
      </w:r>
    </w:p>
    <w:p>
      <w:pPr>
        <w:spacing w:after="0" w:line="178" w:lineRule="exact"/>
        <w:rPr>
          <w:rFonts w:ascii="Times New Roman" w:cs="Times New Roman" w:eastAsia="Times New Roman" w:hAnsi="Times New Roman"/>
          <w:sz w:val="22"/>
          <w:szCs w:val="22"/>
          <w:color w:val="auto"/>
        </w:rPr>
      </w:pPr>
    </w:p>
    <w:p>
      <w:pPr>
        <w:jc w:val="both"/>
        <w:ind w:left="740" w:firstLine="754"/>
        <w:spacing w:after="0" w:line="238" w:lineRule="auto"/>
        <w:tabs>
          <w:tab w:leader="none" w:pos="178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Employee Stock Purchase Plans</w:t>
      </w:r>
      <w:r>
        <w:rPr>
          <w:rFonts w:ascii="Times New Roman" w:cs="Times New Roman" w:eastAsia="Times New Roman" w:hAnsi="Times New Roman"/>
          <w:sz w:val="22"/>
          <w:szCs w:val="22"/>
          <w:color w:val="auto"/>
        </w:rPr>
        <w:t>. The trading restrictions set forth in this Policy do not apply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purchases of Company securities pursuant to the employee’s advance instructions under employee stock purchase plans. However, no alteration to instructions regarding the level of withholding or the purchase of Company securities in such plans is permitted while in the possession of material nonpublic information. Any sale of securities acquired under such plans remains subject to the prohibitions and restrictions of this Policy.</w:t>
      </w:r>
    </w:p>
    <w:p>
      <w:pPr>
        <w:spacing w:after="0" w:line="176" w:lineRule="exact"/>
        <w:rPr>
          <w:rFonts w:ascii="Times New Roman" w:cs="Times New Roman" w:eastAsia="Times New Roman" w:hAnsi="Times New Roman"/>
          <w:sz w:val="22"/>
          <w:szCs w:val="22"/>
          <w:color w:val="auto"/>
        </w:rPr>
      </w:pPr>
    </w:p>
    <w:p>
      <w:pPr>
        <w:jc w:val="both"/>
        <w:ind w:left="740" w:firstLine="754"/>
        <w:spacing w:after="0" w:line="237" w:lineRule="auto"/>
        <w:tabs>
          <w:tab w:leader="none" w:pos="178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Dividend Reinvestment Plans</w:t>
      </w:r>
      <w:r>
        <w:rPr>
          <w:rFonts w:ascii="Times New Roman" w:cs="Times New Roman" w:eastAsia="Times New Roman" w:hAnsi="Times New Roman"/>
          <w:sz w:val="22"/>
          <w:szCs w:val="22"/>
          <w:color w:val="auto"/>
        </w:rPr>
        <w:t>. This Policy does not apply to purchases of Company stock under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dividend reinvestment plan of the Company resulting from reinvestment of dividends paid on Company securities. This Policy does apply, however, to voluntary purchases of Company stock that result from additional contributions a participant chooses to make to the plan, and to a participant’s election to participate in the plan or increase the participant’s level of participation in the plan. This Policy also applies to the participant’s sale of any Company stock purchased pursuant to the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11.Directors and Section 16 Officers Are Subject to Additional Restrictions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firstLine="745"/>
        <w:spacing w:after="0" w:line="264" w:lineRule="auto"/>
        <w:tabs>
          <w:tab w:leader="none" w:pos="128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Section 16 Insiders</w:t>
      </w:r>
      <w:r>
        <w:rPr>
          <w:rFonts w:ascii="Times New Roman" w:cs="Times New Roman" w:eastAsia="Times New Roman" w:hAnsi="Times New Roman"/>
          <w:sz w:val="22"/>
          <w:szCs w:val="22"/>
          <w:color w:val="auto"/>
        </w:rPr>
        <w:t>. The Company’s directors and certain officers (“</w:t>
      </w:r>
      <w:r>
        <w:rPr>
          <w:rFonts w:ascii="Times New Roman" w:cs="Times New Roman" w:eastAsia="Times New Roman" w:hAnsi="Times New Roman"/>
          <w:sz w:val="22"/>
          <w:szCs w:val="22"/>
          <w:b w:val="1"/>
          <w:bCs w:val="1"/>
          <w:i w:val="1"/>
          <w:iCs w:val="1"/>
          <w:color w:val="auto"/>
        </w:rPr>
        <w:t>Section 16 Insiders</w:t>
      </w:r>
      <w:r>
        <w:rPr>
          <w:rFonts w:ascii="Times New Roman" w:cs="Times New Roman" w:eastAsia="Times New Roman" w:hAnsi="Times New Roman"/>
          <w:sz w:val="22"/>
          <w:szCs w:val="22"/>
          <w:color w:val="auto"/>
        </w:rPr>
        <w:t>”) are subject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reporting provisions and trading restrictions of</w:t>
      </w:r>
    </w:p>
    <w:p>
      <w:pPr>
        <w:spacing w:after="0" w:line="15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821055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216" w:name="page217"/>
    <w:bookmarkEnd w:id="216"/>
    <w:p>
      <w:pPr>
        <w:ind w:left="760"/>
        <w:spacing w:after="0"/>
        <w:rPr>
          <w:sz w:val="20"/>
          <w:szCs w:val="20"/>
          <w:color w:val="auto"/>
        </w:rPr>
      </w:pPr>
      <w:r>
        <w:rPr>
          <w:rFonts w:ascii="Times New Roman" w:cs="Times New Roman" w:eastAsia="Times New Roman" w:hAnsi="Times New Roman"/>
          <w:sz w:val="22"/>
          <w:szCs w:val="22"/>
          <w:color w:val="auto"/>
        </w:rPr>
        <w:t>Section 16 of the Exchange Act and the underlying rules and regulations promulgated by the SEC.</w:t>
      </w:r>
    </w:p>
    <w:p>
      <w:pPr>
        <w:spacing w:after="0" w:line="200" w:lineRule="exact"/>
        <w:rPr>
          <w:sz w:val="20"/>
          <w:szCs w:val="20"/>
          <w:color w:val="auto"/>
        </w:rPr>
      </w:pPr>
    </w:p>
    <w:p>
      <w:pPr>
        <w:jc w:val="both"/>
        <w:ind w:left="760" w:firstLine="745"/>
        <w:spacing w:after="0" w:line="234" w:lineRule="auto"/>
        <w:tabs>
          <w:tab w:leader="none" w:pos="204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Section 16 Liability</w:t>
      </w:r>
      <w:r>
        <w:rPr>
          <w:rFonts w:ascii="Times New Roman" w:cs="Times New Roman" w:eastAsia="Times New Roman" w:hAnsi="Times New Roman"/>
          <w:sz w:val="22"/>
          <w:szCs w:val="22"/>
          <w:color w:val="auto"/>
        </w:rPr>
        <w:t>. The Company’s directors and certain officers must also comply with the reporting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obligations and limitations on short-swing profit transactions set forth in Section 16 of the Exchange Act. The practical effect of these provisions is that these officers and directors who purchase and sell the Company’s securities in non-exempt transactions (under Section 16 of the Exchange Act) within a six-month period must disgorge all profits to the Company whether or not they had knowledge of any material nonpublic information. Under these provisions, and so long as certain other criteria are met, neither the receipt of stock or stock options under the Company’s stock plans, nor the exercise of options or the receipt of stock under a Company dividend reinvestment plan or the Company’s 401(k) retirement plan, is deemed a purchase that can be matched against a sale for Section 16(b) short-swing profit disgorgement purposes; however, the sale of any such shares so obtained is a sale for these purposes. </w:t>
      </w:r>
      <w:r>
        <w:rPr>
          <w:rFonts w:ascii="Times New Roman" w:cs="Times New Roman" w:eastAsia="Times New Roman" w:hAnsi="Times New Roman"/>
          <w:sz w:val="22"/>
          <w:szCs w:val="22"/>
          <w:b w:val="1"/>
          <w:bCs w:val="1"/>
          <w:color w:val="auto"/>
        </w:rPr>
        <w:t>The rules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recovery of short-swing profits are absolute and do not depend on whether a person has material nonpublic information</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204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Additional Restrictions</w:t>
      </w:r>
      <w:r>
        <w:rPr>
          <w:rFonts w:ascii="Times New Roman" w:cs="Times New Roman" w:eastAsia="Times New Roman" w:hAnsi="Times New Roman"/>
          <w:sz w:val="22"/>
          <w:szCs w:val="22"/>
          <w:color w:val="auto"/>
        </w:rPr>
        <w:t>. Because Section 16 Insiders regularly possess material nonpublic information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about the Company, and in light of the reporting requirements to which Section 16 Insiders are subject under Section 16 of the Exchange Act, Section 16 Insiders are subject to the additional restrictions, including, but not limited to, pre-clearance of trades, set forth in </w:t>
      </w:r>
      <w:r>
        <w:rPr>
          <w:rFonts w:ascii="Times New Roman" w:cs="Times New Roman" w:eastAsia="Times New Roman" w:hAnsi="Times New Roman"/>
          <w:sz w:val="22"/>
          <w:szCs w:val="22"/>
          <w:u w:val="single" w:color="auto"/>
          <w:color w:val="auto"/>
        </w:rPr>
        <w:t>Appendix II</w:t>
      </w:r>
      <w:r>
        <w:rPr>
          <w:rFonts w:ascii="Times New Roman" w:cs="Times New Roman" w:eastAsia="Times New Roman" w:hAnsi="Times New Roman"/>
          <w:sz w:val="22"/>
          <w:szCs w:val="22"/>
          <w:color w:val="auto"/>
        </w:rPr>
        <w:t xml:space="preserve"> hereto.</w:t>
      </w:r>
    </w:p>
    <w:p>
      <w:pPr>
        <w:spacing w:after="0" w:line="1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12.Suspected Policy Violations Must Be Reported</w:t>
      </w:r>
      <w:r>
        <w:rPr>
          <w:rFonts w:ascii="Times New Roman" w:cs="Times New Roman" w:eastAsia="Times New Roman" w:hAnsi="Times New Roman"/>
          <w:sz w:val="22"/>
          <w:szCs w:val="22"/>
          <w:color w:val="auto"/>
        </w:rPr>
        <w:t>. Any person who violates this Policy,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Disclosure and Regulation FD Policy or any federal or state laws governing insider trading, or knows of or suspects any such violation by any other person, must report the violation immediately to the Compliance Officer. Upon learning of any such violation, the Compliance Officer will determine whether the Company should release any material nonpublic information or whether the Company should report the violation to the SEC or other appropriate governmental authority. The Company will comply with all requests from the SEC, The Financial Industry Regulatory Authority, Inc., Nasdaq and any other quotation system or national securities exchange on which the Company’s common stock is then traded or listed, and other agencies for information related to insider trading investigations.</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Section 13.Insider Trading Compliance Officers</w:t>
      </w:r>
      <w:r>
        <w:rPr>
          <w:rFonts w:ascii="Times New Roman" w:cs="Times New Roman" w:eastAsia="Times New Roman" w:hAnsi="Times New Roman"/>
          <w:sz w:val="22"/>
          <w:szCs w:val="22"/>
          <w:color w:val="auto"/>
        </w:rPr>
        <w:t>. Unless the Board of Directors provides otherwise,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Chief Financial Officer (the “</w:t>
      </w:r>
      <w:r>
        <w:rPr>
          <w:rFonts w:ascii="Times New Roman" w:cs="Times New Roman" w:eastAsia="Times New Roman" w:hAnsi="Times New Roman"/>
          <w:sz w:val="22"/>
          <w:szCs w:val="22"/>
          <w:b w:val="1"/>
          <w:bCs w:val="1"/>
          <w:i w:val="1"/>
          <w:iCs w:val="1"/>
          <w:color w:val="auto"/>
        </w:rPr>
        <w:t>Chief Financial Officer</w:t>
      </w:r>
      <w:r>
        <w:rPr>
          <w:rFonts w:ascii="Times New Roman" w:cs="Times New Roman" w:eastAsia="Times New Roman" w:hAnsi="Times New Roman"/>
          <w:sz w:val="22"/>
          <w:szCs w:val="22"/>
          <w:color w:val="auto"/>
        </w:rPr>
        <w:t>”) shall act as the Company’s initial Insider Trading Compliance Officer (“</w:t>
      </w:r>
      <w:r>
        <w:rPr>
          <w:rFonts w:ascii="Times New Roman" w:cs="Times New Roman" w:eastAsia="Times New Roman" w:hAnsi="Times New Roman"/>
          <w:sz w:val="22"/>
          <w:szCs w:val="22"/>
          <w:b w:val="1"/>
          <w:bCs w:val="1"/>
          <w:i w:val="1"/>
          <w:iCs w:val="1"/>
          <w:color w:val="auto"/>
        </w:rPr>
        <w:t>Compliance Officer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the Chief Financial Officer is a party to a proposed trade, transaction or inquiry relating to this Policy, the Company’s Chief Executive Officer (the “</w:t>
      </w:r>
      <w:r>
        <w:rPr>
          <w:rFonts w:ascii="Times New Roman" w:cs="Times New Roman" w:eastAsia="Times New Roman" w:hAnsi="Times New Roman"/>
          <w:sz w:val="22"/>
          <w:szCs w:val="22"/>
          <w:b w:val="1"/>
          <w:bCs w:val="1"/>
          <w:i w:val="1"/>
          <w:iCs w:val="1"/>
          <w:color w:val="auto"/>
        </w:rPr>
        <w:t>Chief Executive Officer</w:t>
      </w:r>
      <w:r>
        <w:rPr>
          <w:rFonts w:ascii="Times New Roman" w:cs="Times New Roman" w:eastAsia="Times New Roman" w:hAnsi="Times New Roman"/>
          <w:sz w:val="22"/>
          <w:szCs w:val="22"/>
          <w:color w:val="auto"/>
        </w:rPr>
        <w:t>”) shall act as the Compliance Officer with respect to such proposed trade, transaction or inquiry. The Compliance Officer may delegate their authority to act as the Compliance Officer as they deem necessary or appropriate in their discretion. The duties of the Compliance Officer and his/her delegees may include the following:</w:t>
      </w:r>
    </w:p>
    <w:p>
      <w:pPr>
        <w:spacing w:after="0" w:line="180" w:lineRule="exact"/>
        <w:rPr>
          <w:sz w:val="20"/>
          <w:szCs w:val="20"/>
          <w:color w:val="auto"/>
        </w:rPr>
      </w:pPr>
    </w:p>
    <w:p>
      <w:pPr>
        <w:ind w:left="5620" w:right="4080" w:hanging="4863"/>
        <w:spacing w:after="0" w:line="463" w:lineRule="auto"/>
        <w:tabs>
          <w:tab w:leader="none" w:pos="112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monitoring and enforcing compliance with the Policy.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7" w:name="page218"/>
    <w:bookmarkEnd w:id="217"/>
    <w:p>
      <w:pPr>
        <w:ind w:left="1140" w:hanging="383"/>
        <w:spacing w:after="0"/>
        <w:tabs>
          <w:tab w:leader="none" w:pos="1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all inquiries relating to this Policy and its procedures.</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Designating and announcing special trading blackout periods during which no employees may trade in Company securities.</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copies of this Policy and other appropriate materials to all current and new directors, officers, employees and such other persons as the Compliance Officer determines have access to material nonpublic information concerning the Company.</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monitoring and enforcing compliance with federal and state insider trading laws and regulations.</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in the preparation and filing of all required SEC reports relating to trading in Company securities, including, without limitation, Forms 3, 4, 5 and 144 and Schedules 13D and 13G.</w:t>
      </w:r>
    </w:p>
    <w:p>
      <w:pPr>
        <w:spacing w:after="0" w:line="158"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Revising the Policy as necessary to reflect changes in federal or state insider trading laws and regulations.</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may designate one or more individuals who may perform the Compliance Officer’s duties under this Policy in the event that a Compliance Officer is unable or unavailable to perform such duties.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14.Definition of “Material Nonpublic Information.”</w:t>
      </w:r>
    </w:p>
    <w:p>
      <w:pPr>
        <w:spacing w:after="0" w:line="204" w:lineRule="exact"/>
        <w:rPr>
          <w:sz w:val="20"/>
          <w:szCs w:val="20"/>
          <w:color w:val="auto"/>
        </w:rPr>
      </w:pPr>
    </w:p>
    <w:p>
      <w:pPr>
        <w:jc w:val="both"/>
        <w:ind w:left="760" w:firstLine="745"/>
        <w:spacing w:after="0" w:line="235" w:lineRule="auto"/>
        <w:tabs>
          <w:tab w:leader="none" w:pos="20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Information about the Company is “</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if it would be expected to affect the investment decisions to buy, hold or sell, voting decisions of a reasonable stockholder or investor or if the disclosure of the information would be expected to significantly alter the total mix of the information in the marketplace about Kyverna. In simple terms, material information is any type of information that could reasonably be expected to affect the market price of Kyverna securities or an investor’s decision to buy or sell Kyverna securities. Both positive and negative information may be material. While it is not possible to identify all information that would be deemed material, there are various categories of information that are particularly sensitive and, as a general rule, should always be considered material. Examples of such information may include:</w:t>
      </w:r>
    </w:p>
    <w:p>
      <w:pPr>
        <w:spacing w:after="0" w:line="184" w:lineRule="exact"/>
        <w:rPr>
          <w:sz w:val="20"/>
          <w:szCs w:val="20"/>
          <w:color w:val="auto"/>
        </w:rPr>
      </w:pPr>
    </w:p>
    <w:p>
      <w:pPr>
        <w:ind w:left="1880" w:hanging="375"/>
        <w:spacing w:after="0" w:line="258" w:lineRule="auto"/>
        <w:tabs>
          <w:tab w:leader="none" w:pos="18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year-end operating results, and significant changes in financial performance or liquidity.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8" w:name="page219"/>
    <w:bookmarkEnd w:id="218"/>
    <w:p>
      <w:pPr>
        <w:ind w:left="760" w:hanging="375"/>
        <w:spacing w:after="0" w:line="258"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 and any changes to previously announced earnings guidance or any decision to suspend earnings guidance.</w:t>
      </w:r>
    </w:p>
    <w:p>
      <w:pPr>
        <w:spacing w:after="0" w:line="15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Communications with government agencies, such as the SEC.</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projections and strategic plans.</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major contracts, suppliers or finance sources or the loss thereof.</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or release of a significant new service.</w:t>
      </w:r>
    </w:p>
    <w:p>
      <w:pPr>
        <w:spacing w:after="0" w:line="206" w:lineRule="exact"/>
        <w:rPr>
          <w:rFonts w:ascii="Times New Roman" w:cs="Times New Roman" w:eastAsia="Times New Roman" w:hAnsi="Times New Roman"/>
          <w:sz w:val="22"/>
          <w:szCs w:val="22"/>
          <w:color w:val="auto"/>
        </w:rPr>
      </w:pPr>
    </w:p>
    <w:p>
      <w:pPr>
        <w:ind w:left="760" w:hanging="375"/>
        <w:spacing w:after="0" w:line="258"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discoveries or significant changes or developments in products or product lines, research or technologies.</w:t>
      </w:r>
    </w:p>
    <w:p>
      <w:pPr>
        <w:spacing w:after="0" w:line="158" w:lineRule="exact"/>
        <w:rPr>
          <w:rFonts w:ascii="Times New Roman" w:cs="Times New Roman" w:eastAsia="Times New Roman" w:hAnsi="Times New Roman"/>
          <w:sz w:val="22"/>
          <w:szCs w:val="22"/>
          <w:color w:val="auto"/>
        </w:rPr>
      </w:pPr>
    </w:p>
    <w:p>
      <w:pPr>
        <w:ind w:left="760" w:hanging="375"/>
        <w:spacing w:after="0" w:line="258"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trial and study results or developments regarding strategic collaborators.</w:t>
      </w:r>
    </w:p>
    <w:p>
      <w:pPr>
        <w:spacing w:after="0" w:line="15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pricing or cost changes.</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of patents or the acquisition or disposition of other material intellectual property rights.</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changes, actions, approvals or rejections or material correspondence from regulatory bodies.</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or loss of a significant customer or supplier.</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expansion or curtailment of operations.</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write-downs in assets or increases or decreases in revenues.</w:t>
      </w:r>
    </w:p>
    <w:p>
      <w:pPr>
        <w:spacing w:after="0" w:line="206" w:lineRule="exact"/>
        <w:rPr>
          <w:rFonts w:ascii="Times New Roman" w:cs="Times New Roman" w:eastAsia="Times New Roman" w:hAnsi="Times New Roman"/>
          <w:sz w:val="22"/>
          <w:szCs w:val="22"/>
          <w:color w:val="auto"/>
        </w:rPr>
      </w:pPr>
    </w:p>
    <w:p>
      <w:pPr>
        <w:ind w:left="760" w:right="20" w:hanging="375"/>
        <w:spacing w:after="0" w:line="258"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or developments in, any potential mergers or acquisitions, the sale of Company assets or subsidiaries, tender offer or major partnering, joint venture or collaboration agreements.</w:t>
      </w:r>
    </w:p>
    <w:p>
      <w:pPr>
        <w:spacing w:after="0" w:line="15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the Board of Directors.</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labor disputes or negotiations.</w:t>
      </w:r>
    </w:p>
    <w:p>
      <w:pPr>
        <w:spacing w:after="0" w:line="206"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an auditor’s report may no longer be relied upon.</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821055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219" w:name="page220"/>
    <w:bookmarkEnd w:id="219"/>
    <w:p>
      <w:pPr>
        <w:ind w:left="1880" w:hanging="375"/>
        <w:spacing w:after="0"/>
        <w:tabs>
          <w:tab w:leader="none" w:pos="18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w:t>
      </w:r>
    </w:p>
    <w:p>
      <w:pPr>
        <w:spacing w:after="0" w:line="206"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the Company’s capital structure or distribution policies.</w:t>
      </w:r>
    </w:p>
    <w:p>
      <w:pPr>
        <w:spacing w:after="0" w:line="206" w:lineRule="exact"/>
        <w:rPr>
          <w:rFonts w:ascii="Times New Roman" w:cs="Times New Roman" w:eastAsia="Times New Roman" w:hAnsi="Times New Roman"/>
          <w:sz w:val="22"/>
          <w:szCs w:val="22"/>
          <w:color w:val="auto"/>
        </w:rPr>
      </w:pPr>
    </w:p>
    <w:p>
      <w:pPr>
        <w:ind w:left="1880" w:hanging="375"/>
        <w:spacing w:after="0" w:line="258" w:lineRule="auto"/>
        <w:tabs>
          <w:tab w:leader="none" w:pos="18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stock repurchase programs, public or private securities/debt offerings, or changes in Company dividend policies or amounts.</w:t>
      </w:r>
    </w:p>
    <w:p>
      <w:pPr>
        <w:spacing w:after="0" w:line="158"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206" w:lineRule="exact"/>
        <w:rPr>
          <w:rFonts w:ascii="Times New Roman" w:cs="Times New Roman" w:eastAsia="Times New Roman" w:hAnsi="Times New Roman"/>
          <w:sz w:val="22"/>
          <w:szCs w:val="22"/>
          <w:color w:val="auto"/>
        </w:rPr>
      </w:pPr>
    </w:p>
    <w:p>
      <w:pPr>
        <w:ind w:left="1880" w:hanging="375"/>
        <w:spacing w:after="0" w:line="258" w:lineRule="auto"/>
        <w:tabs>
          <w:tab w:leader="none" w:pos="18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an event-specific restriction on trading in Company securities or the securities of another company or the extension or termination of such restriction.</w:t>
      </w:r>
    </w:p>
    <w:p>
      <w:pPr>
        <w:spacing w:after="0" w:line="152" w:lineRule="exact"/>
        <w:rPr>
          <w:sz w:val="20"/>
          <w:szCs w:val="20"/>
          <w:color w:val="auto"/>
        </w:rPr>
      </w:pPr>
    </w:p>
    <w:p>
      <w:pPr>
        <w:jc w:val="both"/>
        <w:ind w:left="760" w:firstLine="745"/>
        <w:spacing w:after="0" w:line="235" w:lineRule="auto"/>
        <w:tabs>
          <w:tab w:leader="none" w:pos="204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Nonpublic</w:t>
      </w:r>
      <w:r>
        <w:rPr>
          <w:rFonts w:ascii="Times New Roman" w:cs="Times New Roman" w:eastAsia="Times New Roman" w:hAnsi="Times New Roman"/>
          <w:sz w:val="22"/>
          <w:szCs w:val="22"/>
          <w:color w:val="auto"/>
        </w:rPr>
        <w:t>.” Material information is “</w:t>
      </w:r>
      <w:r>
        <w:rPr>
          <w:rFonts w:ascii="Times New Roman" w:cs="Times New Roman" w:eastAsia="Times New Roman" w:hAnsi="Times New Roman"/>
          <w:sz w:val="22"/>
          <w:szCs w:val="22"/>
          <w:b w:val="1"/>
          <w:bCs w:val="1"/>
          <w:i w:val="1"/>
          <w:iCs w:val="1"/>
          <w:color w:val="auto"/>
        </w:rPr>
        <w:t>nonpublic</w:t>
      </w:r>
      <w:r>
        <w:rPr>
          <w:rFonts w:ascii="Times New Roman" w:cs="Times New Roman" w:eastAsia="Times New Roman" w:hAnsi="Times New Roman"/>
          <w:sz w:val="22"/>
          <w:szCs w:val="22"/>
          <w:color w:val="auto"/>
        </w:rPr>
        <w:t xml:space="preserve">” if it has not been widely disseminated to the general public through a report filed with the SEC or through major newswire services, national news services or financial news services, a broadcast on widely available radio or television programs or publication in a widely available newspaper, magazine or news website. For purposes of this Policy, information will be considered public after the close of trading on the </w:t>
      </w: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xml:space="preserve"> full trading day following the Company’s widespread public release of the information. For purposes of this Policy,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204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Consult Compliance Officer When in Doubt</w:t>
      </w:r>
      <w:r>
        <w:rPr>
          <w:rFonts w:ascii="Times New Roman" w:cs="Times New Roman" w:eastAsia="Times New Roman" w:hAnsi="Times New Roman"/>
          <w:sz w:val="22"/>
          <w:szCs w:val="22"/>
          <w:color w:val="auto"/>
        </w:rPr>
        <w:t>. Any employees who are unsure whether the information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they possess is material or nonpublic must consult the Compliance Officer for guidance before trading in any Company securities.</w:t>
      </w:r>
    </w:p>
    <w:p>
      <w:pPr>
        <w:spacing w:after="0" w:line="16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15.Trading Blackout Period</w:t>
      </w:r>
      <w:r>
        <w:rPr>
          <w:rFonts w:ascii="Times New Roman" w:cs="Times New Roman" w:eastAsia="Times New Roman" w:hAnsi="Times New Roman"/>
          <w:sz w:val="22"/>
          <w:szCs w:val="22"/>
          <w:color w:val="auto"/>
        </w:rPr>
        <w:t>. To ensure compliance with this Policy and applicable securities laws,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avoid even the appearance of trading on the basis of inside information, the Company requires that its directors, officers and employees of the Company designated by the Compliance Officer as subject to a blackout period (as defined below) prohibitions because of their access to the Company’s internal financial statements or other material nonpublic information regarding the Company’s performance during annual and quarterly fiscal periods (such individuals collectively referred to herein as the “</w:t>
      </w:r>
      <w:r>
        <w:rPr>
          <w:rFonts w:ascii="Times New Roman" w:cs="Times New Roman" w:eastAsia="Times New Roman" w:hAnsi="Times New Roman"/>
          <w:sz w:val="22"/>
          <w:szCs w:val="22"/>
          <w:b w:val="1"/>
          <w:bCs w:val="1"/>
          <w:i w:val="1"/>
          <w:iCs w:val="1"/>
          <w:color w:val="auto"/>
        </w:rPr>
        <w:t>Designated Insiders</w:t>
      </w:r>
      <w:r>
        <w:rPr>
          <w:rFonts w:ascii="Times New Roman" w:cs="Times New Roman" w:eastAsia="Times New Roman" w:hAnsi="Times New Roman"/>
          <w:sz w:val="22"/>
          <w:szCs w:val="22"/>
          <w:color w:val="auto"/>
        </w:rPr>
        <w:t>”), and Family Members of the foregoing, refrain from conducting transactions involving the purchase or sale of the Company’s securities during the blackout periods established below. Each of the following periods will constitute a “</w:t>
      </w:r>
      <w:r>
        <w:rPr>
          <w:rFonts w:ascii="Times New Roman" w:cs="Times New Roman" w:eastAsia="Times New Roman" w:hAnsi="Times New Roman"/>
          <w:sz w:val="22"/>
          <w:szCs w:val="22"/>
          <w:b w:val="1"/>
          <w:bCs w:val="1"/>
          <w:i w:val="1"/>
          <w:iCs w:val="1"/>
          <w:color w:val="auto"/>
        </w:rPr>
        <w:t>blackout period</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1500" w:right="760"/>
        <w:spacing w:after="0" w:line="238" w:lineRule="auto"/>
        <w:rPr>
          <w:sz w:val="20"/>
          <w:szCs w:val="20"/>
          <w:color w:val="auto"/>
        </w:rPr>
      </w:pPr>
      <w:r>
        <w:rPr>
          <w:rFonts w:ascii="Times New Roman" w:cs="Times New Roman" w:eastAsia="Times New Roman" w:hAnsi="Times New Roman"/>
          <w:sz w:val="22"/>
          <w:szCs w:val="22"/>
          <w:color w:val="auto"/>
        </w:rPr>
        <w:t xml:space="preserve">The period commencing on the </w:t>
      </w:r>
      <w:r>
        <w:rPr>
          <w:rFonts w:ascii="Times New Roman" w:cs="Times New Roman" w:eastAsia="Times New Roman" w:hAnsi="Times New Roman"/>
          <w:sz w:val="22"/>
          <w:szCs w:val="22"/>
          <w:b w:val="1"/>
          <w:bCs w:val="1"/>
          <w:color w:val="auto"/>
        </w:rPr>
        <w:t>16th day of the last month</w:t>
      </w:r>
      <w:r>
        <w:rPr>
          <w:rFonts w:ascii="Times New Roman" w:cs="Times New Roman" w:eastAsia="Times New Roman" w:hAnsi="Times New Roman"/>
          <w:sz w:val="22"/>
          <w:szCs w:val="22"/>
          <w:color w:val="auto"/>
        </w:rPr>
        <w:t xml:space="preserve"> of a fiscal quarter and ending at the </w:t>
      </w:r>
      <w:r>
        <w:rPr>
          <w:rFonts w:ascii="Times New Roman" w:cs="Times New Roman" w:eastAsia="Times New Roman" w:hAnsi="Times New Roman"/>
          <w:sz w:val="22"/>
          <w:szCs w:val="22"/>
          <w:b w:val="1"/>
          <w:bCs w:val="1"/>
          <w:color w:val="auto"/>
        </w:rPr>
        <w:t>close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of business on the second trading day following </w:t>
      </w:r>
      <w:r>
        <w:rPr>
          <w:rFonts w:ascii="Times New Roman" w:cs="Times New Roman" w:eastAsia="Times New Roman" w:hAnsi="Times New Roman"/>
          <w:sz w:val="22"/>
          <w:szCs w:val="22"/>
          <w:color w:val="auto"/>
        </w:rPr>
        <w:t>the date of public disclosure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financial results for such fiscal quarter. If such public disclosure occurs after the markets close on a trading day, then the date of public disclosure shall </w:t>
      </w:r>
      <w:r>
        <w:rPr>
          <w:rFonts w:ascii="Times New Roman" w:cs="Times New Roman" w:eastAsia="Times New Roman" w:hAnsi="Times New Roman"/>
          <w:sz w:val="22"/>
          <w:szCs w:val="22"/>
          <w:b w:val="1"/>
          <w:bCs w:val="1"/>
          <w:color w:val="auto"/>
        </w:rPr>
        <w:t>not</w:t>
      </w:r>
      <w:r>
        <w:rPr>
          <w:rFonts w:ascii="Times New Roman" w:cs="Times New Roman" w:eastAsia="Times New Roman" w:hAnsi="Times New Roman"/>
          <w:sz w:val="22"/>
          <w:szCs w:val="22"/>
          <w:color w:val="auto"/>
        </w:rPr>
        <w:t xml:space="preserve"> be considered the first trading day following the date of public disclosure.</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0" w:name="page221"/>
    <w:bookmarkEnd w:id="220"/>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In addition to the blackout periods described above, the Company may announce “special” blackout periods from time to time if, in the judgment of the Chief Executive Officer or the Compliance Officer, there are nonpublic developments that would be considered material for insider trading law purposes, such as, among other things, developments relating to regulatory matters, litigation or a major corporate transaction. Depending on the circumstances, a “special” blackout period may apply to all Designated Insiders or only to a specific group of Designated Insiders. The Compliance Officer will provide written notice to Designated Insiders subject to a “special” blackout period. Any person made aware of the existence of a “special” blackout period should not disclose the existence of the “special” blackout period to any other person. The failure of the Company to designate a person as being subject to a “special” blackout period will not relieve that person of the obligation not to trade while the person is aware of any material nonpublic information concerning the Company. As used in this Policy, the term “blackout period” shall mean all periodic blackout periods and all “special” blackout periods announced by the Company.</w:t>
      </w:r>
    </w:p>
    <w:p>
      <w:pPr>
        <w:spacing w:after="0" w:line="17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purpose behind the blackout period is to help establish a diligent effort to avoid any improper transactions. Trading in the Company’s securities outside a blackout period should not be considered a “safe harbor,” and all directors, officers and employees of the Company and other persons subject to this Policy should use good judgment at all times. Even outside a blackout period, any person possessing material nonpublic information concerning the Company should not engage in any transactions in the Company’s securities until such information has been known publicly for at least two trading days after the date of announcement. Although the Company may from time to time impose “special” blackout periods, because of developments known to the Company and not yet disclosed to the public, each person is individually responsible at all times for compliance with the prohibitions against insider trading.</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Transactions effected pursuant to a trading plan under SEC Rule 10b5-1 implemented in accordance with this Policy are not subject to blackout periods.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16.Violations of Insider Trading Laws or this Policy can Result in Severe Consequences.</w:t>
      </w:r>
    </w:p>
    <w:p>
      <w:pPr>
        <w:spacing w:after="0" w:line="204" w:lineRule="exact"/>
        <w:rPr>
          <w:sz w:val="20"/>
          <w:szCs w:val="20"/>
          <w:color w:val="auto"/>
        </w:rPr>
      </w:pPr>
    </w:p>
    <w:p>
      <w:pPr>
        <w:jc w:val="both"/>
        <w:ind w:firstLine="757"/>
        <w:spacing w:after="0" w:line="239" w:lineRule="auto"/>
        <w:tabs>
          <w:tab w:leader="none" w:pos="119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Liability for Insider Trading</w:t>
      </w:r>
      <w:r>
        <w:rPr>
          <w:rFonts w:ascii="Times New Roman" w:cs="Times New Roman" w:eastAsia="Times New Roman" w:hAnsi="Times New Roman"/>
          <w:sz w:val="22"/>
          <w:szCs w:val="22"/>
          <w:color w:val="auto"/>
        </w:rPr>
        <w:t>. The consequences of prohibited insider trading or tipping can be severe. Persons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violating insider trading or tipping rules may be subject to an SEC civil investigation, cease-and-desist order or other administrative action, and incur federal and state law penalties and sanctions, including, but not limited to: (1) jail sentences; (2) criminal fines; (3) civil penalties; (4) SEC civil enforcement injunctions; (5) administrative sanctions; and (6) a permanent bar from serving as an officer or director of a public company.</w:t>
      </w:r>
    </w:p>
    <w:p>
      <w:pPr>
        <w:spacing w:after="0" w:line="173"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There is no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exception to the rule against insider trading. Use of inside information to gain personal benefit is as illegal with respect to one share of stock as it is with respect to a large number of shares.</w:t>
      </w:r>
    </w:p>
    <w:p>
      <w:pPr>
        <w:spacing w:after="0" w:line="148" w:lineRule="exact"/>
        <w:rPr>
          <w:sz w:val="20"/>
          <w:szCs w:val="20"/>
          <w:color w:val="auto"/>
        </w:rPr>
      </w:pPr>
    </w:p>
    <w:p>
      <w:pPr>
        <w:jc w:val="both"/>
        <w:ind w:firstLine="757"/>
        <w:spacing w:after="0" w:line="241"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officer or director of the Company who tips (“</w:t>
      </w:r>
      <w:r>
        <w:rPr>
          <w:rFonts w:ascii="Times New Roman" w:cs="Times New Roman" w:eastAsia="Times New Roman" w:hAnsi="Times New Roman"/>
          <w:sz w:val="22"/>
          <w:szCs w:val="22"/>
          <w:b w:val="1"/>
          <w:bCs w:val="1"/>
          <w:i w:val="1"/>
          <w:iCs w:val="1"/>
          <w:color w:val="auto"/>
        </w:rPr>
        <w:t>tippers</w:t>
      </w:r>
      <w:r>
        <w:rPr>
          <w:rFonts w:ascii="Times New Roman" w:cs="Times New Roman" w:eastAsia="Times New Roman" w:hAnsi="Times New Roman"/>
          <w:sz w:val="22"/>
          <w:szCs w:val="22"/>
          <w:color w:val="auto"/>
        </w:rPr>
        <w:t>”) a third party (commonly referred to as a “</w:t>
      </w:r>
      <w:r>
        <w:rPr>
          <w:rFonts w:ascii="Times New Roman" w:cs="Times New Roman" w:eastAsia="Times New Roman" w:hAnsi="Times New Roman"/>
          <w:sz w:val="22"/>
          <w:szCs w:val="22"/>
          <w:b w:val="1"/>
          <w:bCs w:val="1"/>
          <w:i w:val="1"/>
          <w:iCs w:val="1"/>
          <w:color w:val="auto"/>
        </w:rPr>
        <w:t>tippee</w:t>
      </w:r>
      <w:r>
        <w:rPr>
          <w:rFonts w:ascii="Times New Roman" w:cs="Times New Roman" w:eastAsia="Times New Roman" w:hAnsi="Times New Roman"/>
          <w:sz w:val="22"/>
          <w:szCs w:val="22"/>
          <w:color w:val="auto"/>
        </w:rPr>
        <w:t>”) may also be liable for improper transactions by tippees to whom they have tipped material nonpublic information regarding the Company or to whom they have made recommendations or expressed opinions on the basis of such information as to trading</w:t>
      </w:r>
    </w:p>
    <w:p>
      <w:pPr>
        <w:spacing w:after="0" w:line="1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1" w:name="page222"/>
    <w:bookmarkEnd w:id="221"/>
    <w:p>
      <w:pPr>
        <w:jc w:val="both"/>
        <w:spacing w:after="0" w:line="244" w:lineRule="auto"/>
        <w:rPr>
          <w:sz w:val="20"/>
          <w:szCs w:val="20"/>
          <w:color w:val="auto"/>
        </w:rPr>
      </w:pPr>
      <w:r>
        <w:rPr>
          <w:rFonts w:ascii="Times New Roman" w:cs="Times New Roman" w:eastAsia="Times New Roman" w:hAnsi="Times New Roman"/>
          <w:sz w:val="22"/>
          <w:szCs w:val="22"/>
          <w:color w:val="auto"/>
        </w:rPr>
        <w:t>in the Company’s securities. Tippers and tippees would be subject to the same penalties and sanctions as described above, and the SEC has imposed large penalties even when the tipper or tippee did not profit from the trading. The SEC and the national securities exchanges use sophisticated electronic surveillance techniques to assess and uncover insider trading.</w:t>
      </w:r>
    </w:p>
    <w:p>
      <w:pPr>
        <w:spacing w:after="0" w:line="167" w:lineRule="exact"/>
        <w:rPr>
          <w:sz w:val="20"/>
          <w:szCs w:val="20"/>
          <w:color w:val="auto"/>
        </w:rPr>
      </w:pPr>
    </w:p>
    <w:p>
      <w:pPr>
        <w:ind w:firstLine="757"/>
        <w:spacing w:after="0" w:line="264" w:lineRule="auto"/>
        <w:tabs>
          <w:tab w:leader="none" w:pos="122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Control Persons</w:t>
      </w:r>
      <w:r>
        <w:rPr>
          <w:rFonts w:ascii="Times New Roman" w:cs="Times New Roman" w:eastAsia="Times New Roman" w:hAnsi="Times New Roman"/>
          <w:sz w:val="22"/>
          <w:szCs w:val="22"/>
          <w:color w:val="auto"/>
        </w:rPr>
        <w:t>. The Company and/or the supervisors of the person violating the rules, if they fail to take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appropriate steps to prevent insider trading, may in certain circumstances be subject to major civil or criminal penalties.</w:t>
      </w:r>
    </w:p>
    <w:p>
      <w:pPr>
        <w:spacing w:after="0" w:line="145" w:lineRule="exact"/>
        <w:rPr>
          <w:rFonts w:ascii="Times New Roman" w:cs="Times New Roman" w:eastAsia="Times New Roman" w:hAnsi="Times New Roman"/>
          <w:sz w:val="22"/>
          <w:szCs w:val="22"/>
          <w:color w:val="auto"/>
        </w:rPr>
      </w:pPr>
    </w:p>
    <w:p>
      <w:pPr>
        <w:jc w:val="both"/>
        <w:ind w:firstLine="757"/>
        <w:spacing w:after="0" w:line="247" w:lineRule="auto"/>
        <w:tabs>
          <w:tab w:leader="none" w:pos="119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Company Discipline</w:t>
      </w:r>
      <w:r>
        <w:rPr>
          <w:rFonts w:ascii="Times New Roman" w:cs="Times New Roman" w:eastAsia="Times New Roman" w:hAnsi="Times New Roman"/>
          <w:sz w:val="22"/>
          <w:szCs w:val="22"/>
          <w:color w:val="auto"/>
        </w:rPr>
        <w:t>. Violation of this Policy or federal or state insider trading laws by any director, officer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employee may subject the director to removal proceedings and the officer or employee to disciplinary action by the Company, including termination for cause, and, in appropriate cases, civil legal action or referral for regulatory or criminal prosecution.</w:t>
      </w:r>
    </w:p>
    <w:p>
      <w:pPr>
        <w:spacing w:after="0" w:line="16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Section 17.This Policy Is Subject to Revision</w:t>
      </w:r>
      <w:r>
        <w:rPr>
          <w:rFonts w:ascii="Times New Roman" w:cs="Times New Roman" w:eastAsia="Times New Roman" w:hAnsi="Times New Roman"/>
          <w:sz w:val="22"/>
          <w:szCs w:val="22"/>
          <w:color w:val="auto"/>
        </w:rPr>
        <w:t>. Kyverna may change the terms of this Policy, from time to time,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reserves the right to amend, supplement or discontinue this Policy and the matters addressed herein, without prior notice, at any time. The Company anticipates that modifications to this Policy will be necessary from time to time, as the Company’s needs and circumstances evolve and to respond to developments in law and practice, and will take steps to inform all affected persons of any material changes. The Nominating and Corporate Governance Committee of the Board of Directors will be responsible for monitoring and recommending any modification to this Policy, if necessary or advisable, to the Board of Directors.</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18.All Persons Must Acknowledge Their Agreement to Comply with this Policy</w:t>
      </w:r>
      <w:r>
        <w:rPr>
          <w:rFonts w:ascii="Times New Roman" w:cs="Times New Roman" w:eastAsia="Times New Roman" w:hAnsi="Times New Roman"/>
          <w:sz w:val="22"/>
          <w:szCs w:val="22"/>
          <w:color w:val="auto"/>
        </w:rPr>
        <w:t>. The Policy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on the Company’s internal website. Upon first receiving a copy of the Policy or any revised versions, each such person shall be requested to sign an acknowledgment that they have received a copy and agree to comply with the Policy’s terms. This acknowledgment and agreement will constitute consent for Kyverna to impose sanctions for violation of this Policy and to issue any necessary stop-transfer orders to the Company’s transfer agent to enforce compliance with this Policy.</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19.Additional Information </w:t>
      </w:r>
      <w:r>
        <w:rPr>
          <w:rFonts w:ascii="Times New Roman" w:cs="Times New Roman" w:eastAsia="Times New Roman" w:hAnsi="Times New Roman"/>
          <w:sz w:val="22"/>
          <w:szCs w:val="22"/>
          <w:color w:val="auto"/>
        </w:rPr>
        <w:t>. Nothing in this Policy creates or implies an employment contract or term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Employment at the Company is employment at-will, unless otherwise expressly provided in an employment contract signed by the employee and the Chief Executive Officer (or another authorized officer of the Company). Employment at-will may be terminated with or without cause and with or without notice at any time by the employee or the Company. Nothing in this Policy shall limit the right to terminate employment at-will. No one other than the Chief Executive Officer is authorized to change this at-will employment relationship, or to enter into an agreement to employ employees for a specified period of time. If the Chief Executive Officer makes this kind of different agreement with an employee, it will not be effective unless it is in writing, clearly states that the at-will employment relationship is changed, and is signed by the employee and the Chief Executive Officer (or another authorized officer of the Company).</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20.Amendments. </w:t>
      </w:r>
      <w:r>
        <w:rPr>
          <w:rFonts w:ascii="Times New Roman" w:cs="Times New Roman" w:eastAsia="Times New Roman" w:hAnsi="Times New Roman"/>
          <w:sz w:val="22"/>
          <w:szCs w:val="22"/>
          <w:color w:val="auto"/>
        </w:rPr>
        <w:t>This Policy will be subject to the periodic review of the Board of Directors.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anticipates that modifications to this Policy will be necessary</w:t>
      </w:r>
    </w:p>
    <w:p>
      <w:pPr>
        <w:spacing w:after="0" w:line="1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2" w:name="page223"/>
    <w:bookmarkEnd w:id="222"/>
    <w:p>
      <w:pPr>
        <w:jc w:val="both"/>
        <w:spacing w:after="0" w:line="239" w:lineRule="auto"/>
        <w:rPr>
          <w:sz w:val="20"/>
          <w:szCs w:val="20"/>
          <w:color w:val="auto"/>
        </w:rPr>
      </w:pPr>
      <w:r>
        <w:rPr>
          <w:rFonts w:ascii="Times New Roman" w:cs="Times New Roman" w:eastAsia="Times New Roman" w:hAnsi="Times New Roman"/>
          <w:sz w:val="22"/>
          <w:szCs w:val="22"/>
          <w:color w:val="auto"/>
        </w:rPr>
        <w:t>from time to time as the Company’s needs and circumstances evolve, and as applicable legal or listing standards change. The Company reserves the right to amend, supplement or discontinue this Policy and the matters addressed herein, without prior notice, at any time. However, employees are expected to adhere to this Policy, and the procedures established under it, until they receive any contrary instruction from the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on January 24,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Effective on February 7, 2024</w:t>
      </w:r>
    </w:p>
    <w:p>
      <w:pPr>
        <w:spacing w:after="0" w:line="2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Rule 10b5-1 Plan Guidelines</w:t>
      </w:r>
    </w:p>
    <w:p>
      <w:pPr>
        <w:spacing w:after="0" w:line="200" w:lineRule="exact"/>
        <w:rPr>
          <w:sz w:val="20"/>
          <w:szCs w:val="20"/>
          <w:color w:val="auto"/>
        </w:rPr>
      </w:pP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Any officer, director or other employee of the Company (a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adopting a trading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under Rule 10b5-1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each such Plan must meet the following requirements.</w:t>
      </w:r>
    </w:p>
    <w:p>
      <w:pPr>
        <w:spacing w:after="0" w:line="170" w:lineRule="exact"/>
        <w:rPr>
          <w:sz w:val="20"/>
          <w:szCs w:val="20"/>
          <w:color w:val="auto"/>
        </w:rPr>
      </w:pPr>
    </w:p>
    <w:p>
      <w:pPr>
        <w:ind w:left="760" w:hanging="378"/>
        <w:spacing w:after="0" w:line="258" w:lineRule="auto"/>
        <w:tabs>
          <w:tab w:leader="none" w:pos="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must be a written plan or binding agreement entered into with a national brokerage firm or other financial professional reasonably acceptable to the Company.</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must clearly state that both the Plan participant and the brokerage firm intend that all transactions will comply with Rule 10b5-1 under the Exchange Act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must include a representation by the participant to the Company at the time of adoption or modification of the Plan that (i) the participant is not aware of any material nonpublic information about the Company or Company securities, and (ii) the participant is adopting the Plan in good faith and not as part of a plan or scheme to evade the prohibitions of Rule 10b-5 under the Exchange Act.</w:t>
      </w:r>
    </w:p>
    <w:p>
      <w:pPr>
        <w:spacing w:after="0" w:line="180" w:lineRule="exact"/>
        <w:rPr>
          <w:rFonts w:ascii="Times New Roman" w:cs="Times New Roman" w:eastAsia="Times New Roman" w:hAnsi="Times New Roman"/>
          <w:sz w:val="22"/>
          <w:szCs w:val="22"/>
          <w:color w:val="auto"/>
        </w:rPr>
      </w:pPr>
    </w:p>
    <w:p>
      <w:pPr>
        <w:jc w:val="both"/>
        <w:ind w:left="760" w:hanging="378"/>
        <w:spacing w:after="0" w:line="236" w:lineRule="auto"/>
        <w:tabs>
          <w:tab w:leader="none" w:pos="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solely responsible for determining Plan compliance with Rule 10b5-1 and other applicable laws and regulations. Pre-clearance of the Plan by the Company should not be characterized or understood to signify consent, approval or a legal opinion as to the Plan’s effectiveness or the participant’s compliance with Rule 10b5-1. None of the Company, the Compliance Officer or any of the Company’s officers, employees or other representatives shall be deemed, solely by their authorization of a Plan on behalf of the Company, to have assumed any liability or responsibility to the participant or any other party if such Plan fails to comply with Rule 10b5-1.</w:t>
      </w:r>
    </w:p>
    <w:p>
      <w:pPr>
        <w:spacing w:after="0" w:line="181" w:lineRule="exact"/>
        <w:rPr>
          <w:rFonts w:ascii="Times New Roman" w:cs="Times New Roman" w:eastAsia="Times New Roman" w:hAnsi="Times New Roman"/>
          <w:sz w:val="22"/>
          <w:szCs w:val="22"/>
          <w:color w:val="auto"/>
        </w:rPr>
      </w:pPr>
    </w:p>
    <w:p>
      <w:pPr>
        <w:jc w:val="both"/>
        <w:ind w:left="760" w:hanging="378"/>
        <w:spacing w:after="0" w:line="236" w:lineRule="auto"/>
        <w:tabs>
          <w:tab w:leader="none" w:pos="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must (i) specify the amount of securities to be purchased or sold and the price at which and the date on which the securities are to be purchased or sold, or (ii) include a written formula or algorithm, or computer program, for determining the amount of securities to be purchased or sold and the price at which and the date on which the securities are to be purchased or sold. In any case, the Plan must prohibit the participant and any other person who possesses material nonpublic information concerning the Company from exercising any subsequent influence over how, when or whether to effectuate purchases or sales.</w:t>
      </w:r>
    </w:p>
    <w:p>
      <w:pPr>
        <w:spacing w:after="0" w:line="18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must be adopted while the Company is not in a blackout period.</w:t>
      </w:r>
    </w:p>
    <w:p>
      <w:pPr>
        <w:spacing w:after="0" w:line="206"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Plan participants that are officers and directors, no transaction may take place under the Plan until the later of (a) 90 days after adoption or modification (as specified in Rule 10b5-1) of the Plan, or (b) two business days following the disclosure of the Company’s financial results in a Form 10-Q or Form 10-K for the fiscal quarter (or the Company’s fourth fiscal quarter in the case of a Form 10-K) in which the Plan was adopted or modified (as specified in Rule 10b5-1), in all cases not to exceed 120 days after adoption 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4" w:name="page225"/>
    <w:bookmarkEnd w:id="224"/>
    <w:p>
      <w:pPr>
        <w:ind w:left="380"/>
        <w:spacing w:after="0"/>
        <w:rPr>
          <w:sz w:val="20"/>
          <w:szCs w:val="20"/>
          <w:color w:val="auto"/>
        </w:rPr>
      </w:pPr>
      <w:r>
        <w:rPr>
          <w:rFonts w:ascii="Times New Roman" w:cs="Times New Roman" w:eastAsia="Times New Roman" w:hAnsi="Times New Roman"/>
          <w:sz w:val="22"/>
          <w:szCs w:val="22"/>
          <w:color w:val="auto"/>
        </w:rPr>
        <w:t>modification of the Plan.</w:t>
      </w:r>
    </w:p>
    <w:p>
      <w:pPr>
        <w:spacing w:after="0" w:line="206" w:lineRule="exact"/>
        <w:rPr>
          <w:sz w:val="20"/>
          <w:szCs w:val="20"/>
          <w:color w:val="auto"/>
        </w:rPr>
      </w:pPr>
    </w:p>
    <w:p>
      <w:pPr>
        <w:ind w:left="380" w:hanging="378"/>
        <w:spacing w:after="0" w:line="285" w:lineRule="exact"/>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Plan participants other than officers and directors, no transaction may take place under the Plan until 30 days following the adoption or modification (as specified in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of the Plan.</w:t>
      </w:r>
    </w:p>
    <w:p>
      <w:pPr>
        <w:spacing w:after="0" w:line="146" w:lineRule="exact"/>
        <w:rPr>
          <w:rFonts w:ascii="Times New Roman" w:cs="Times New Roman" w:eastAsia="Times New Roman" w:hAnsi="Times New Roman"/>
          <w:sz w:val="22"/>
          <w:szCs w:val="22"/>
          <w:color w:val="auto"/>
        </w:rPr>
      </w:pPr>
    </w:p>
    <w:p>
      <w:pPr>
        <w:ind w:left="380" w:right="20" w:hanging="378"/>
        <w:spacing w:after="0" w:line="258" w:lineRule="auto"/>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limited exceptions specified in Rule 10b5-1, Plan participants may not have more than one Plan outstanding at the same time.</w:t>
      </w:r>
    </w:p>
    <w:p>
      <w:pPr>
        <w:spacing w:after="0" w:line="158" w:lineRule="exact"/>
        <w:rPr>
          <w:rFonts w:ascii="Times New Roman" w:cs="Times New Roman" w:eastAsia="Times New Roman" w:hAnsi="Times New Roman"/>
          <w:sz w:val="22"/>
          <w:szCs w:val="22"/>
          <w:color w:val="auto"/>
        </w:rPr>
      </w:pPr>
    </w:p>
    <w:p>
      <w:pPr>
        <w:ind w:left="380" w:hanging="378"/>
        <w:spacing w:after="0" w:line="258" w:lineRule="auto"/>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participant may not be at the time of entering into the Plan, and may not during the term of the Plan become, a party to a corresponding or hedging transaction involving Company securities.</w:t>
      </w:r>
    </w:p>
    <w:p>
      <w:pPr>
        <w:spacing w:after="0" w:line="158" w:lineRule="exact"/>
        <w:rPr>
          <w:rFonts w:ascii="Times New Roman" w:cs="Times New Roman" w:eastAsia="Times New Roman" w:hAnsi="Times New Roman"/>
          <w:sz w:val="22"/>
          <w:szCs w:val="22"/>
          <w:color w:val="auto"/>
        </w:rPr>
      </w:pPr>
    </w:p>
    <w:p>
      <w:pPr>
        <w:jc w:val="both"/>
        <w:ind w:left="380" w:hanging="378"/>
        <w:spacing w:after="0" w:line="236" w:lineRule="auto"/>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participant must cooperate with the Company’s decisions regarding public disclosure of the Plan. If the Plan participant is a director or officer, the Plan participant (i) acknowledges that the Company and such director or officer must make certain disclosures in SEC filings concerning the Plan, and (ii) must promptly provide any information requested by the Company regarding the Plan (including any amendment or termination thereof) for the purpose of providing the required disclosures or any other disclosures that the Company deems to be required or appropriate under the circumstances.</w:t>
      </w:r>
    </w:p>
    <w:p>
      <w:pPr>
        <w:spacing w:after="0" w:line="181" w:lineRule="exact"/>
        <w:rPr>
          <w:rFonts w:ascii="Times New Roman" w:cs="Times New Roman" w:eastAsia="Times New Roman" w:hAnsi="Times New Roman"/>
          <w:sz w:val="22"/>
          <w:szCs w:val="22"/>
          <w:color w:val="auto"/>
        </w:rPr>
      </w:pPr>
    </w:p>
    <w:p>
      <w:pPr>
        <w:ind w:left="380" w:hanging="378"/>
        <w:spacing w:after="0" w:line="258" w:lineRule="auto"/>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modifications to the Plan are not prohibited, the Plan should be adopted with the intention that it will not be amended, modified or terminated prior to its expiration.</w:t>
      </w:r>
    </w:p>
    <w:p>
      <w:pPr>
        <w:spacing w:after="0" w:line="154" w:lineRule="exact"/>
        <w:rPr>
          <w:rFonts w:ascii="Times New Roman" w:cs="Times New Roman" w:eastAsia="Times New Roman" w:hAnsi="Times New Roman"/>
          <w:sz w:val="22"/>
          <w:szCs w:val="22"/>
          <w:color w:val="auto"/>
        </w:rPr>
      </w:pPr>
    </w:p>
    <w:p>
      <w:pPr>
        <w:jc w:val="both"/>
        <w:ind w:left="380" w:hanging="378"/>
        <w:spacing w:after="0" w:line="272" w:lineRule="exact"/>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Plan must provide for multiple transactions (as opposed to a single transaction);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Plan participants may, subject to certain limited exceptions specified in Rule 10b5-1, adopt one Plan that provides for a single transaction in any consecutive 12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period.</w:t>
      </w:r>
    </w:p>
    <w:p>
      <w:pPr>
        <w:spacing w:after="0" w:line="146" w:lineRule="exact"/>
        <w:rPr>
          <w:rFonts w:ascii="Times New Roman" w:cs="Times New Roman" w:eastAsia="Times New Roman" w:hAnsi="Times New Roman"/>
          <w:sz w:val="22"/>
          <w:szCs w:val="22"/>
          <w:color w:val="auto"/>
        </w:rPr>
      </w:pPr>
    </w:p>
    <w:p>
      <w:pPr>
        <w:jc w:val="both"/>
        <w:ind w:left="380" w:hanging="378"/>
        <w:spacing w:after="0" w:line="244" w:lineRule="auto"/>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must provide for same-day confirmation (by e-mail) by the financial institution to one or more individuals specified by the Company of each transaction made under the Plan, and of any proposed modification, amendment or termination of the Plan.</w:t>
      </w:r>
    </w:p>
    <w:p>
      <w:pPr>
        <w:spacing w:after="0" w:line="173" w:lineRule="exact"/>
        <w:rPr>
          <w:rFonts w:ascii="Times New Roman" w:cs="Times New Roman" w:eastAsia="Times New Roman" w:hAnsi="Times New Roman"/>
          <w:sz w:val="22"/>
          <w:szCs w:val="22"/>
          <w:color w:val="auto"/>
        </w:rPr>
      </w:pPr>
    </w:p>
    <w:p>
      <w:pPr>
        <w:jc w:val="both"/>
        <w:ind w:left="380" w:hanging="378"/>
        <w:spacing w:after="0" w:line="239" w:lineRule="auto"/>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with respect to a transaction under the Plan, an SEC Form 144 will be filled out and filed by the participant or the participant’s brokerage firm in accordance with the existing rules regarding Form 144 filings. For directors and officers, Form 4s should be filed timely with respect to transactions under the Plan. A similar footnote should be included in the Form 4 as outlined above.</w:t>
      </w:r>
    </w:p>
    <w:p>
      <w:pPr>
        <w:spacing w:after="0" w:line="180" w:lineRule="exact"/>
        <w:rPr>
          <w:rFonts w:ascii="Times New Roman" w:cs="Times New Roman" w:eastAsia="Times New Roman" w:hAnsi="Times New Roman"/>
          <w:sz w:val="22"/>
          <w:szCs w:val="22"/>
          <w:color w:val="auto"/>
        </w:rPr>
      </w:pPr>
    </w:p>
    <w:p>
      <w:pPr>
        <w:jc w:val="both"/>
        <w:ind w:left="380" w:hanging="378"/>
        <w:spacing w:after="0" w:line="239" w:lineRule="auto"/>
        <w:tabs>
          <w:tab w:leader="none" w:pos="3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1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821055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08"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 Restrictions on Transactions in Company Securities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Section 16 Insiders</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To minimize the risk of apparent or actual violations of the rules governing insider trading, we have adopted these special restrictions relating to transactions in our securities by Section 16 Insiders. Section 16 Insiders are responsible for ensuring compliance with this </w:t>
      </w:r>
      <w:r>
        <w:rPr>
          <w:rFonts w:ascii="Times New Roman" w:cs="Times New Roman" w:eastAsia="Times New Roman" w:hAnsi="Times New Roman"/>
          <w:sz w:val="22"/>
          <w:szCs w:val="22"/>
          <w:u w:val="single" w:color="auto"/>
          <w:color w:val="auto"/>
        </w:rPr>
        <w:t>Appendix II</w:t>
      </w:r>
      <w:r>
        <w:rPr>
          <w:rFonts w:ascii="Times New Roman" w:cs="Times New Roman" w:eastAsia="Times New Roman" w:hAnsi="Times New Roman"/>
          <w:sz w:val="22"/>
          <w:szCs w:val="22"/>
          <w:color w:val="auto"/>
        </w:rPr>
        <w:t>, including restrictions on all trading during certain periods, by family members and members of their households and by entities over which they exercise voting or investment control. Section 16 Insiders should provide each of these persons or entities with a copy of this Policy.</w:t>
      </w:r>
    </w:p>
    <w:p>
      <w:pPr>
        <w:spacing w:after="0" w:line="17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Section 1.Trade Pre-Clearance Required</w:t>
      </w:r>
      <w:r>
        <w:rPr>
          <w:rFonts w:ascii="Times New Roman" w:cs="Times New Roman" w:eastAsia="Times New Roman" w:hAnsi="Times New Roman"/>
          <w:sz w:val="22"/>
          <w:szCs w:val="22"/>
          <w:color w:val="auto"/>
        </w:rPr>
        <w:t>. As part of this Policy, all purchases and sales of equity securities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by Section 16 Insiders, other than transactions that are not subject to the Policy or transactions pursuant to a Rule 10b5-1 trading plan authorized by the Compliance Officer, must be pre-cleared by the Compliance Officer. This requirement is intended to prevent inadvertent Policy violations, avoid trades involving the appearance of improper insider trading, facilitate timely Form 4 reporting by Section 16 Insiders and avoid transactions that are subject to disgorgement under Section 16(b) of the Exchange Act.</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Requests for pre-clearance must be submitted via email to the Compliance Officer at least </w:t>
      </w:r>
      <w:r>
        <w:rPr>
          <w:rFonts w:ascii="Times New Roman" w:cs="Times New Roman" w:eastAsia="Times New Roman" w:hAnsi="Times New Roman"/>
          <w:sz w:val="22"/>
          <w:szCs w:val="22"/>
          <w:b w:val="1"/>
          <w:bCs w:val="1"/>
          <w:color w:val="auto"/>
        </w:rPr>
        <w:t>two (2) business days</w:t>
      </w:r>
      <w:r>
        <w:rPr>
          <w:rFonts w:ascii="Times New Roman" w:cs="Times New Roman" w:eastAsia="Times New Roman" w:hAnsi="Times New Roman"/>
          <w:sz w:val="22"/>
          <w:szCs w:val="22"/>
          <w:color w:val="auto"/>
        </w:rPr>
        <w:t xml:space="preserve"> in advance of each proposed transaction. If the Section 16 Insider does not receive a response from a Compliance Officer within </w:t>
      </w:r>
      <w:r>
        <w:rPr>
          <w:rFonts w:ascii="Times New Roman" w:cs="Times New Roman" w:eastAsia="Times New Roman" w:hAnsi="Times New Roman"/>
          <w:sz w:val="22"/>
          <w:szCs w:val="22"/>
          <w:b w:val="1"/>
          <w:bCs w:val="1"/>
          <w:color w:val="auto"/>
        </w:rPr>
        <w:t>twenty four (24) hours</w:t>
      </w:r>
      <w:r>
        <w:rPr>
          <w:rFonts w:ascii="Times New Roman" w:cs="Times New Roman" w:eastAsia="Times New Roman" w:hAnsi="Times New Roman"/>
          <w:sz w:val="22"/>
          <w:szCs w:val="22"/>
          <w:color w:val="auto"/>
        </w:rPr>
        <w:t>, the Section 16 Insider must follow up to ensure that the message was received. Each Section 16 Insider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 for pre-clearance should include the nature of the proposed transaction and the expected date of the transaction. In addition, each request by a Section 16 Insider for pre-clearance should also include the following information:</w:t>
      </w:r>
    </w:p>
    <w:p>
      <w:pPr>
        <w:spacing w:after="0" w:line="181" w:lineRule="exact"/>
        <w:rPr>
          <w:sz w:val="20"/>
          <w:szCs w:val="20"/>
          <w:color w:val="auto"/>
        </w:rPr>
      </w:pPr>
    </w:p>
    <w:p>
      <w:pPr>
        <w:ind w:left="1140" w:hanging="383"/>
        <w:spacing w:after="0"/>
        <w:tabs>
          <w:tab w:leader="none" w:pos="11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involved.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 involves a stock option exercise, the specific option to be exercised.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will execute the transaction.</w:t>
      </w:r>
    </w:p>
    <w:p>
      <w:pPr>
        <w:spacing w:after="0" w:line="20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Once the proposed transaction is pre-cleared, the Section 16 Insider may proceed with it on the approved terms, provided that they comply with all other securities law requirements, such as Rule 144 and prohibitions regarding trading on the basis of inside information, and with any special trading blackout imposed by the Company prior to the completion of the trade.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Neither the Company nor the Compliance Officer (a) will have any liability for any delay in reviewing, or refusal of, a pre-clearance request, or (b) assumes any liability for the legality or consequences of any transaction that is the subject of a pre-clearance request to the party requesting such pre-clearance.</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2.Pre-Clearance of Rule 10b5-1 Plans Required</w:t>
      </w:r>
      <w:r>
        <w:rPr>
          <w:rFonts w:ascii="Times New Roman" w:cs="Times New Roman" w:eastAsia="Times New Roman" w:hAnsi="Times New Roman"/>
          <w:sz w:val="22"/>
          <w:szCs w:val="22"/>
          <w:color w:val="auto"/>
        </w:rPr>
        <w:t>. Pre-clearance is required for the establishment of a Rule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10b5-1 trading plan at least </w:t>
      </w:r>
      <w:r>
        <w:rPr>
          <w:rFonts w:ascii="Times New Roman" w:cs="Times New Roman" w:eastAsia="Times New Roman" w:hAnsi="Times New Roman"/>
          <w:sz w:val="22"/>
          <w:szCs w:val="22"/>
          <w:b w:val="1"/>
          <w:bCs w:val="1"/>
          <w:color w:val="auto"/>
        </w:rPr>
        <w:t>four (4) full trading days</w:t>
      </w:r>
      <w:r>
        <w:rPr>
          <w:rFonts w:ascii="Times New Roman" w:cs="Times New Roman" w:eastAsia="Times New Roman" w:hAnsi="Times New Roman"/>
          <w:sz w:val="22"/>
          <w:szCs w:val="22"/>
          <w:color w:val="auto"/>
        </w:rPr>
        <w:t xml:space="preserve"> prior to entry into, modification of or termination of the plan. However, pre-clearance will not be required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6" w:name="page227"/>
    <w:bookmarkEnd w:id="226"/>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for individual transactions effected pursuant to a pre-cleared Rule 10b5-1 trading plan. All Section 16 Insiders must immediately report the results of transactions effected under a trading plan to the Compliance Officer since they will be reportable on Form 4 within </w:t>
      </w:r>
      <w:r>
        <w:rPr>
          <w:rFonts w:ascii="Times New Roman" w:cs="Times New Roman" w:eastAsia="Times New Roman" w:hAnsi="Times New Roman"/>
          <w:sz w:val="22"/>
          <w:szCs w:val="22"/>
          <w:b w:val="1"/>
          <w:bCs w:val="1"/>
          <w:color w:val="auto"/>
        </w:rPr>
        <w:t>two (2) business days</w:t>
      </w:r>
      <w:r>
        <w:rPr>
          <w:rFonts w:ascii="Times New Roman" w:cs="Times New Roman" w:eastAsia="Times New Roman" w:hAnsi="Times New Roman"/>
          <w:sz w:val="22"/>
          <w:szCs w:val="22"/>
          <w:color w:val="auto"/>
        </w:rPr>
        <w:t xml:space="preserve"> following the execution of the trade, subject to an extension of not more than </w:t>
      </w:r>
      <w:r>
        <w:rPr>
          <w:rFonts w:ascii="Times New Roman" w:cs="Times New Roman" w:eastAsia="Times New Roman" w:hAnsi="Times New Roman"/>
          <w:sz w:val="22"/>
          <w:szCs w:val="22"/>
          <w:b w:val="1"/>
          <w:bCs w:val="1"/>
          <w:color w:val="auto"/>
        </w:rPr>
        <w:t>two (2) 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business days </w:t>
      </w:r>
      <w:r>
        <w:rPr>
          <w:rFonts w:ascii="Times New Roman" w:cs="Times New Roman" w:eastAsia="Times New Roman" w:hAnsi="Times New Roman"/>
          <w:sz w:val="22"/>
          <w:szCs w:val="22"/>
          <w:color w:val="auto"/>
        </w:rPr>
        <w:t>where the Section 16 Insider is not immediately aware of the execution of the trade. Notwithstanding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foregoing, any transactions by the Compliance Officer, or a delegee of the Compliance Officer under this Policy, shall be subject to pre-clearance by the Chief Executive Officer. Pre-clearance of a plan by the Company should not be characterized or understood to signify consent, approval or a legal opinion as to the plan’s effectiveness or the participant’s compliance with Rule 10b5-1.</w:t>
      </w:r>
    </w:p>
    <w:p>
      <w:pPr>
        <w:spacing w:after="0" w:line="1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Section 3.Hardship Exemptions</w:t>
      </w:r>
      <w:r>
        <w:rPr>
          <w:rFonts w:ascii="Times New Roman" w:cs="Times New Roman" w:eastAsia="Times New Roman" w:hAnsi="Times New Roman"/>
          <w:sz w:val="22"/>
          <w:szCs w:val="22"/>
          <w:color w:val="auto"/>
        </w:rPr>
        <w:t>. The Compliance Officer may, on a case-by-case basis, authorize a transaction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Kyverna securities during a regular, quarterly blackout period (but in no event during a special blackout period) due to financial or other hardship. Any request for a hardship exemption must be in writing and must describe the amount and nature of the proposed transaction and the circumstances of the hardship. The Section 16 Insider requesting the hardship exemption must also certify to the Compliance Officer within </w:t>
      </w:r>
      <w:r>
        <w:rPr>
          <w:rFonts w:ascii="Times New Roman" w:cs="Times New Roman" w:eastAsia="Times New Roman" w:hAnsi="Times New Roman"/>
          <w:sz w:val="22"/>
          <w:szCs w:val="22"/>
          <w:b w:val="1"/>
          <w:bCs w:val="1"/>
          <w:color w:val="auto"/>
        </w:rPr>
        <w:t>two (2) business days</w:t>
      </w:r>
      <w:r>
        <w:rPr>
          <w:rFonts w:ascii="Times New Roman" w:cs="Times New Roman" w:eastAsia="Times New Roman" w:hAnsi="Times New Roman"/>
          <w:sz w:val="22"/>
          <w:szCs w:val="22"/>
          <w:color w:val="auto"/>
        </w:rPr>
        <w:t xml:space="preserve"> prior to the date of the proposed trade that they are not in possession of material nonpublic information concerning Kyverna. The existence of the foregoing procedure does not in any way obligate the Compliance Officer to approve any hardship exemption requested by a Section 16 Insider.</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4.Brokers</w:t>
      </w:r>
      <w:r>
        <w:rPr>
          <w:rFonts w:ascii="Times New Roman" w:cs="Times New Roman" w:eastAsia="Times New Roman" w:hAnsi="Times New Roman"/>
          <w:sz w:val="22"/>
          <w:szCs w:val="22"/>
          <w:color w:val="auto"/>
        </w:rPr>
        <w:t>. All Section 16 Insiders must ensure that their broker does not execute any transaction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16 Insider (other than under a previously authorized Rule 10b5-1 trading plan) until the broker has verified with the Compliance Officer that the transaction has been pre-cleared.</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Section 5.Reporting of Transactions Required</w:t>
      </w:r>
      <w:r>
        <w:rPr>
          <w:rFonts w:ascii="Times New Roman" w:cs="Times New Roman" w:eastAsia="Times New Roman" w:hAnsi="Times New Roman"/>
          <w:sz w:val="22"/>
          <w:szCs w:val="22"/>
          <w:color w:val="auto"/>
        </w:rPr>
        <w:t>. To facilitate timely reporting under Section 16 of the Exchange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Section 16 Insiders are required to, </w:t>
      </w:r>
      <w:r>
        <w:rPr>
          <w:rFonts w:ascii="Times New Roman" w:cs="Times New Roman" w:eastAsia="Times New Roman" w:hAnsi="Times New Roman"/>
          <w:sz w:val="22"/>
          <w:szCs w:val="22"/>
          <w:b w:val="1"/>
          <w:bCs w:val="1"/>
          <w:i w:val="1"/>
          <w:iCs w:val="1"/>
          <w:color w:val="auto"/>
        </w:rPr>
        <w:t>on the same day as the trade date</w:t>
      </w:r>
      <w:r>
        <w:rPr>
          <w:rFonts w:ascii="Times New Roman" w:cs="Times New Roman" w:eastAsia="Times New Roman" w:hAnsi="Times New Roman"/>
          <w:sz w:val="22"/>
          <w:szCs w:val="22"/>
          <w:color w:val="auto"/>
        </w:rPr>
        <w:t>, or, with respect to transactions effected pursuant to a Rule 10b5-1 plan, on the day the Section 16 Insider is advised of the terms of the transaction, (a) report the details of each transaction to the Compliance Officer, and (b) arrange with persons whose trades must be reported by the Section 16 Insider under Section 16 of the Exchange Act (such as immediate family members living in the Section 16 Insider’s household) to immediately report directly to the Company and to the Section 16 Insider the following transaction details:</w:t>
      </w:r>
    </w:p>
    <w:p>
      <w:pPr>
        <w:spacing w:after="0" w:line="179" w:lineRule="exact"/>
        <w:rPr>
          <w:sz w:val="20"/>
          <w:szCs w:val="20"/>
          <w:color w:val="auto"/>
        </w:rPr>
      </w:pPr>
    </w:p>
    <w:p>
      <w:pPr>
        <w:ind w:left="1140" w:hanging="383"/>
        <w:spacing w:after="0"/>
        <w:tabs>
          <w:tab w:leader="none" w:pos="11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date (trade date),</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involved,</w:t>
      </w:r>
    </w:p>
    <w:p>
      <w:pPr>
        <w:spacing w:after="0" w:line="206"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per share at which the transaction was executed (before addition or deduction of brokerage commission and other transaction fees),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stock option exercises, the specific option exercised,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executed the transaction, and</w:t>
      </w:r>
    </w:p>
    <w:p>
      <w:pPr>
        <w:spacing w:after="0" w:line="2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7" w:name="page228"/>
    <w:bookmarkEnd w:id="227"/>
    <w:p>
      <w:pPr>
        <w:ind w:left="1140" w:hanging="383"/>
        <w:spacing w:after="0"/>
        <w:tabs>
          <w:tab w:leader="none" w:pos="11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representation that the Section 16 Insider is not in possession of material non-public information.</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transaction details must be reported to the Compliance Officer, with copies to Kyverna personnel who will assist the Section 16 Insider in preparing their Form 4.</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7"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S-8 (Nos. 333-276952 and 333-283489) of Kyverna Therapeutics, Inc. of our report dated March 27, 2025, relating to the financial statements, which appears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Warner Biddle, certify that:</w:t>
      </w:r>
    </w:p>
    <w:p>
      <w:pPr>
        <w:spacing w:after="0" w:line="225"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Kyverna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Warner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Warner Biddle</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Jones, hereby certify that:</w:t>
      </w:r>
    </w:p>
    <w:p>
      <w:pPr>
        <w:spacing w:after="0" w:line="225"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Kyverna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10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Ryan Jones</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Kyverna Therapeutics, Inc. (the “Company”) for the period ended December 31, 2024 as filed with the Securities and Exchange Commission on the date hereof (the “Report”), the undersigned hereby certifies, pursuant to 18 U.S.C. Section 1350, as adopted pursuant to Section 906 of the Sarbanes-Oxley Act of 2002, to his knowledge that:</w:t>
      </w:r>
    </w:p>
    <w:p>
      <w:pPr>
        <w:spacing w:after="0" w:line="176" w:lineRule="exact"/>
        <w:rPr>
          <w:sz w:val="20"/>
          <w:szCs w:val="20"/>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Warner Biddle</w:t>
            </w:r>
          </w:p>
        </w:tc>
      </w:tr>
      <w:tr>
        <w:trPr>
          <w:trHeight w:val="187"/>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Warner Biddle</w:t>
            </w:r>
          </w:p>
        </w:tc>
      </w:tr>
      <w:tr>
        <w:trPr>
          <w:trHeight w:val="216"/>
        </w:trPr>
        <w:tc>
          <w:tcPr>
            <w:tcW w:w="3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8"/>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bl>
    <w:p>
      <w:pPr>
        <w:spacing w:after="0" w:line="200" w:lineRule="exact"/>
        <w:rPr>
          <w:sz w:val="20"/>
          <w:szCs w:val="20"/>
          <w:color w:val="auto"/>
        </w:rPr>
      </w:pPr>
    </w:p>
    <w:p>
      <w:pPr>
        <w:spacing w:after="0" w:line="21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Kyverna Therapeutics, Inc. (the “Company”) for the period ended December 31, 2024 as filed with the Securities and Exchange Commission on the date hereof (the “Report”), the undersigned hereby certifies, pursuant to 18 U.S.C. Section 1350, as adopted pursuant to Section 906 of the Sarbanes-Oxley Act of 2002, to his knowledge that:</w:t>
      </w:r>
    </w:p>
    <w:p>
      <w:pPr>
        <w:spacing w:after="0" w:line="176" w:lineRule="exact"/>
        <w:rPr>
          <w:sz w:val="20"/>
          <w:szCs w:val="20"/>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10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Ryan Jones</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3" w:name="page234"/>
    <w:bookmarkEnd w:id="2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lowerRoman"/>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1)"/>
      <w:numFmt w:val="decimal"/>
      <w:start w:val="1"/>
    </w:lvl>
  </w:abstractNum>
  <w:abstractNum w:abstractNumId="46">
    <w:nsid w:val="BF72B14"/>
    <w:multiLevelType w:val="hybridMultilevel"/>
    <w:lvl w:ilvl="0">
      <w:lvlJc w:val="left"/>
      <w:lvlText w:val="%1."/>
      <w:numFmt w:val="decimal"/>
      <w:start w:val="11"/>
    </w:lvl>
    <w:lvl w:ilvl="1">
      <w:lvlJc w:val="left"/>
      <w:lvlText w:val="•"/>
      <w:numFmt w:val="bullet"/>
      <w:start w:val="1"/>
    </w:lvl>
  </w:abstractNum>
  <w:abstractNum w:abstractNumId="47">
    <w:nsid w:val="11447B73"/>
    <w:multiLevelType w:val="hybridMultilevel"/>
    <w:lvl w:ilvl="0">
      <w:lvlJc w:val="left"/>
      <w:lvlText w:val="(%1)"/>
      <w:numFmt w:val="decimal"/>
      <w:start w:val="1"/>
    </w:lvl>
  </w:abstractNum>
  <w:abstractNum w:abstractNumId="48">
    <w:nsid w:val="42963E5A"/>
    <w:multiLevelType w:val="hybridMultilevel"/>
    <w:lvl w:ilvl="0">
      <w:lvlJc w:val="left"/>
      <w:lvlText w:val="(%1)"/>
      <w:numFmt w:val="decimal"/>
      <w:start w:val="1"/>
    </w:lvl>
  </w:abstractNum>
  <w:abstractNum w:abstractNumId="49">
    <w:nsid w:val="A0382C5"/>
    <w:multiLevelType w:val="hybridMultilevel"/>
    <w:lvl w:ilvl="0">
      <w:lvlJc w:val="left"/>
      <w:lvlText w:val="(%1)"/>
      <w:numFmt w:val="decimal"/>
      <w:start w:val="4"/>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1)"/>
      <w:numFmt w:val="decimal"/>
      <w:start w:val="1"/>
    </w:lvl>
  </w:abstractNum>
  <w:abstractNum w:abstractNumId="53">
    <w:nsid w:val="68EB2F63"/>
    <w:multiLevelType w:val="hybridMultilevel"/>
    <w:lvl w:ilvl="0">
      <w:lvlJc w:val="left"/>
      <w:lvlText w:val="(%1)"/>
      <w:numFmt w:val="decimal"/>
      <w:start w:val="3"/>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1)"/>
      <w:numFmt w:val="decimal"/>
      <w:start w:val="5"/>
    </w:lvl>
  </w:abstractNum>
  <w:abstractNum w:abstractNumId="57">
    <w:nsid w:val="14330624"/>
    <w:multiLevelType w:val="hybridMultilevel"/>
    <w:lvl w:ilvl="0">
      <w:lvlJc w:val="left"/>
      <w:lvlText w:val="(%1)"/>
      <w:numFmt w:val="decimal"/>
      <w:start w:val="1"/>
    </w:lvl>
  </w:abstractNum>
  <w:abstractNum w:abstractNumId="58">
    <w:nsid w:val="7FFFCA11"/>
    <w:multiLevelType w:val="hybridMultilevel"/>
    <w:lvl w:ilvl="0">
      <w:lvlJc w:val="left"/>
      <w:lvlText w:val="(%1)"/>
      <w:numFmt w:val="decimal"/>
      <w:start w:val="1"/>
    </w:lvl>
  </w:abstractNum>
  <w:abstractNum w:abstractNumId="59">
    <w:nsid w:val="1A27709E"/>
    <w:multiLevelType w:val="hybridMultilevel"/>
    <w:lvl w:ilvl="0">
      <w:lvlJc w:val="left"/>
      <w:lvlText w:val="(%1)"/>
      <w:numFmt w:val="decimal"/>
      <w:start w:val="1"/>
    </w:lvl>
  </w:abstractNum>
  <w:abstractNum w:abstractNumId="60">
    <w:nsid w:val="71EA1109"/>
    <w:multiLevelType w:val="hybridMultilevel"/>
    <w:lvl w:ilvl="0">
      <w:lvlJc w:val="left"/>
      <w:lvlText w:val="(%1)"/>
      <w:numFmt w:val="lowerLetter"/>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1)"/>
      <w:numFmt w:val="lowerLetter"/>
      <w:start w:val="3"/>
    </w:lvl>
  </w:abstractNum>
  <w:abstractNum w:abstractNumId="66">
    <w:nsid w:val="885E1B"/>
    <w:multiLevelType w:val="hybridMultilevel"/>
    <w:lvl w:ilvl="0">
      <w:lvlJc w:val="left"/>
      <w:lvlText w:val="%1."/>
      <w:numFmt w:val="decimal"/>
      <w:start w:val="7"/>
    </w:lvl>
  </w:abstractNum>
  <w:abstractNum w:abstractNumId="67">
    <w:nsid w:val="76272110"/>
    <w:multiLevelType w:val="hybridMultilevel"/>
    <w:lvl w:ilvl="0">
      <w:lvlJc w:val="left"/>
      <w:lvlText w:val="\emdash "/>
      <w:numFmt w:val="bullet"/>
      <w:start w:val="1"/>
    </w:lvl>
  </w:abstractNum>
  <w:abstractNum w:abstractNumId="68">
    <w:nsid w:val="4C04A8AF"/>
    <w:multiLevelType w:val="hybridMultilevel"/>
    <w:lvl w:ilvl="0">
      <w:lvlJc w:val="left"/>
      <w:lvlText w:val="(%1)"/>
      <w:numFmt w:val="lowerRoman"/>
      <w:start w:val="2"/>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1)"/>
      <w:numFmt w:val="lowerLetter"/>
      <w:start w:val="1"/>
    </w:lvl>
  </w:abstractNum>
  <w:abstractNum w:abstractNumId="73">
    <w:nsid w:val="68EBC550"/>
    <w:multiLevelType w:val="hybridMultilevel"/>
    <w:lvl w:ilvl="0">
      <w:lvlJc w:val="left"/>
      <w:lvlText w:val="%1."/>
      <w:numFmt w:val="decimal"/>
      <w:start w:val="1"/>
    </w:lvl>
  </w:abstractNum>
  <w:abstractNum w:abstractNumId="74">
    <w:nsid w:val="2DF6D648"/>
    <w:multiLevelType w:val="hybridMultilevel"/>
    <w:lvl w:ilvl="0">
      <w:lvlJc w:val="left"/>
      <w:lvlText w:val="(%1)"/>
      <w:numFmt w:val="lowerLetter"/>
      <w:start w:val="2"/>
    </w:lvl>
  </w:abstractNum>
  <w:abstractNum w:abstractNumId="75">
    <w:nsid w:val="46B7D447"/>
    <w:multiLevelType w:val="hybridMultilevel"/>
    <w:lvl w:ilvl="0">
      <w:lvlJc w:val="left"/>
      <w:lvlText w:val="(%1)"/>
      <w:numFmt w:val="lowerLetter"/>
      <w:start w:val="1"/>
    </w:lvl>
  </w:abstractNum>
  <w:abstractNum w:abstractNumId="76">
    <w:nsid w:val="4A2AC315"/>
    <w:multiLevelType w:val="hybridMultilevel"/>
    <w:lvl w:ilvl="0">
      <w:lvlJc w:val="left"/>
      <w:lvlText w:val="(%1)"/>
      <w:numFmt w:val="lowerLetter"/>
      <w:start w:val="3"/>
    </w:lvl>
  </w:abstractNum>
  <w:abstractNum w:abstractNumId="77">
    <w:nsid w:val="39EE015C"/>
    <w:multiLevelType w:val="hybridMultilevel"/>
    <w:lvl w:ilvl="0">
      <w:lvlJc w:val="left"/>
      <w:lvlText w:val="1"/>
      <w:numFmt w:val="bullet"/>
      <w:start w:val="1"/>
    </w:lvl>
  </w:abstractNum>
  <w:abstractNum w:abstractNumId="78">
    <w:nsid w:val="57FC4FBB"/>
    <w:multiLevelType w:val="hybridMultilevel"/>
    <w:lvl w:ilvl="0">
      <w:lvlJc w:val="left"/>
      <w:lvlText w:val="%1."/>
      <w:numFmt w:val="decimal"/>
      <w:start w:val="7"/>
    </w:lvl>
    <w:lvl w:ilvl="1">
      <w:lvlJc w:val="left"/>
      <w:lvlText w:val="(%2)"/>
      <w:numFmt w:val="lowerLetter"/>
      <w:start w:val="1"/>
    </w:lvl>
  </w:abstractNum>
  <w:abstractNum w:abstractNumId="79">
    <w:nsid w:val="CC1016F"/>
    <w:multiLevelType w:val="hybridMultilevel"/>
    <w:lvl w:ilvl="0">
      <w:lvlJc w:val="left"/>
      <w:lvlText w:val="2"/>
      <w:numFmt w:val="bullet"/>
      <w:start w:val="1"/>
    </w:lvl>
  </w:abstractNum>
  <w:abstractNum w:abstractNumId="80">
    <w:nsid w:val="43F18422"/>
    <w:multiLevelType w:val="hybridMultilevel"/>
    <w:lvl w:ilvl="0">
      <w:lvlJc w:val="left"/>
      <w:lvlText w:val="(%1)"/>
      <w:numFmt w:val="lowerLetter"/>
      <w:start w:val="5"/>
    </w:lvl>
  </w:abstractNum>
  <w:abstractNum w:abstractNumId="81">
    <w:nsid w:val="60EF0119"/>
    <w:multiLevelType w:val="hybridMultilevel"/>
    <w:lvl w:ilvl="0">
      <w:lvlJc w:val="left"/>
      <w:lvlText w:val="%1."/>
      <w:numFmt w:val="upperLetter"/>
      <w:start w:val="1"/>
    </w:lvl>
  </w:abstractNum>
  <w:abstractNum w:abstractNumId="82">
    <w:nsid w:val="26F324BA"/>
    <w:multiLevelType w:val="hybridMultilevel"/>
    <w:lvl w:ilvl="0">
      <w:lvlJc w:val="left"/>
      <w:lvlText w:val="%1."/>
      <w:numFmt w:val="upperLetter"/>
      <w:start w:val="4"/>
    </w:lvl>
  </w:abstractNum>
  <w:abstractNum w:abstractNumId="83">
    <w:nsid w:val="7F01579B"/>
    <w:multiLevelType w:val="hybridMultilevel"/>
    <w:lvl w:ilvl="0">
      <w:lvlJc w:val="left"/>
      <w:lvlText w:val="%1."/>
      <w:numFmt w:val="upperLetter"/>
      <w:start w:val="1"/>
    </w:lvl>
    <w:lvl w:ilvl="1">
      <w:lvlJc w:val="left"/>
      <w:lvlText w:val="%2."/>
      <w:numFmt w:val="decimal"/>
      <w:start w:val="1"/>
    </w:lvl>
  </w:abstractNum>
  <w:abstractNum w:abstractNumId="84">
    <w:nsid w:val="49DA307D"/>
    <w:multiLevelType w:val="hybridMultilevel"/>
    <w:lvl w:ilvl="0">
      <w:lvlJc w:val="left"/>
      <w:lvlText w:val="%1."/>
      <w:numFmt w:val="decimal"/>
      <w:start w:val="2"/>
    </w:lvl>
  </w:abstractNum>
  <w:abstractNum w:abstractNumId="85">
    <w:nsid w:val="7055A5F5"/>
    <w:multiLevelType w:val="hybridMultilevel"/>
    <w:lvl w:ilvl="0">
      <w:lvlJc w:val="left"/>
      <w:lvlText w:val="%1."/>
      <w:numFmt w:val="upperLetter"/>
      <w:start w:val="1"/>
    </w:lvl>
  </w:abstractNum>
  <w:abstractNum w:abstractNumId="86">
    <w:nsid w:val="5FB8370B"/>
    <w:multiLevelType w:val="hybridMultilevel"/>
    <w:lvl w:ilvl="0">
      <w:lvlJc w:val="left"/>
      <w:lvlText w:val="%1."/>
      <w:numFmt w:val="upperLetter"/>
      <w:start w:val="2"/>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1."/>
      <w:numFmt w:val="upperLetter"/>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1."/>
      <w:numFmt w:val="upperLetter"/>
      <w:start w:val="2"/>
    </w:lvl>
  </w:abstractNum>
  <w:abstractNum w:abstractNumId="94">
    <w:nsid w:val="7D5E18F8"/>
    <w:multiLevelType w:val="hybridMultilevel"/>
    <w:lvl w:ilvl="0">
      <w:lvlJc w:val="left"/>
      <w:lvlText w:val="%1."/>
      <w:numFmt w:val="upperLetter"/>
      <w:start w:val="1"/>
    </w:lvl>
  </w:abstractNum>
  <w:abstractNum w:abstractNumId="95">
    <w:nsid w:val="5F3534A4"/>
    <w:multiLevelType w:val="hybridMultilevel"/>
    <w:lvl w:ilvl="0">
      <w:lvlJc w:val="left"/>
      <w:lvlText w:val="%1."/>
      <w:numFmt w:val="upperLetter"/>
      <w:start w:val="2"/>
    </w:lvl>
  </w:abstractNum>
  <w:abstractNum w:abstractNumId="96">
    <w:nsid w:val="73A1821B"/>
    <w:multiLevelType w:val="hybridMultilevel"/>
    <w:lvl w:ilvl="0">
      <w:lvlJc w:val="left"/>
      <w:lvlText w:val="%1."/>
      <w:numFmt w:val="upperLetter"/>
      <w:start w:val="3"/>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1."/>
      <w:numFmt w:val="decimal"/>
      <w:start w:val="8"/>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69"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414" Type="http://schemas.openxmlformats.org/officeDocument/2006/relationships/image" Target="media/image386.pn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jpe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jpe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pn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png"/><Relationship Id="rId491"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214" Type="http://schemas.openxmlformats.org/officeDocument/2006/relationships/hyperlink" Target="https://www.sec.gov/Archives/edgar/data/1994702/000119312524032161/d765670dex31.htm" TargetMode="External"/><Relationship Id="rId215" Type="http://schemas.openxmlformats.org/officeDocument/2006/relationships/hyperlink" Target="https://www.sec.gov/Archives/edgar/data/1994702/000119312524032161/d765670dex32.htm" TargetMode="External"/><Relationship Id="rId216" Type="http://schemas.openxmlformats.org/officeDocument/2006/relationships/hyperlink" Target="https://www.sec.gov/Archives/edgar/data/1994702/000119312524008614/d530411dex41.htm" TargetMode="External"/><Relationship Id="rId217" Type="http://schemas.openxmlformats.org/officeDocument/2006/relationships/hyperlink" Target="https://www.sec.gov/Archives/edgar/data/1994702/000095017024036481/kytx-ex4_2.htm" TargetMode="External"/><Relationship Id="rId218" Type="http://schemas.openxmlformats.org/officeDocument/2006/relationships/hyperlink" Target="https://www.sec.gov/Archives/edgar/data/1994702/000119312524008614/d530411dex101.htm" TargetMode="External"/><Relationship Id="rId219" Type="http://schemas.openxmlformats.org/officeDocument/2006/relationships/hyperlink" Target="https://www.sec.gov/Archives/edgar/data/1994702/000119312524028421/d774885dex102.htm" TargetMode="External"/><Relationship Id="rId220" Type="http://schemas.openxmlformats.org/officeDocument/2006/relationships/hyperlink" Target="https://www.sec.gov/Archives/edgar/data/1994702/000119312524021237/d530411dex103.htm" TargetMode="External"/><Relationship Id="rId221" Type="http://schemas.openxmlformats.org/officeDocument/2006/relationships/hyperlink" Target="https://www.sec.gov/Archives/edgar/data/1994702/000119312524024683/d530411dex104.htm" TargetMode="External"/><Relationship Id="rId222" Type="http://schemas.openxmlformats.org/officeDocument/2006/relationships/hyperlink" Target="https://www.sec.gov/Archives/edgar/data/1994702/000119312524028421/d774885dex105.htm" TargetMode="External"/><Relationship Id="rId223" Type="http://schemas.openxmlformats.org/officeDocument/2006/relationships/hyperlink" Target="https://www.sec.gov/Archives/edgar/data/1994702/000119312524021237/d530411dex106.htm" TargetMode="External"/><Relationship Id="rId224" Type="http://schemas.openxmlformats.org/officeDocument/2006/relationships/hyperlink" Target="https://www.sec.gov/Archives/edgar/data/1994702/000121390024078736/ea021460701ex10-1_kyverna.htm" TargetMode="External"/><Relationship Id="rId225" Type="http://schemas.openxmlformats.org/officeDocument/2006/relationships/hyperlink" Target="https://www.sec.gov/Archives/edgar/data/1994702/000119312524008614/d530411dex109.htm" TargetMode="External"/><Relationship Id="rId226" Type="http://schemas.openxmlformats.org/officeDocument/2006/relationships/hyperlink" Target="https://www.sec.gov/Archives/edgar/data/1994702/000119312524008614/d530411dex1010.htm" TargetMode="External"/><Relationship Id="rId227" Type="http://schemas.openxmlformats.org/officeDocument/2006/relationships/hyperlink" Target="https://www.sec.gov/Archives/edgar/data/1994702/000119312524008614/d530411dex1011.htm" TargetMode="External"/><Relationship Id="rId228" Type="http://schemas.openxmlformats.org/officeDocument/2006/relationships/hyperlink" Target="https://www.sec.gov/Archives/edgar/data/1994702/000119312524008614/d530411dex1012.htm" TargetMode="External"/><Relationship Id="rId229" Type="http://schemas.openxmlformats.org/officeDocument/2006/relationships/hyperlink" Target="https://www.sec.gov/Archives/edgar/data/1994702/000119312524008614/d530411dex1013.htm" TargetMode="External"/><Relationship Id="rId230" Type="http://schemas.openxmlformats.org/officeDocument/2006/relationships/hyperlink" Target="https://www.sec.gov/Archives/edgar/data/1994702/000119312524008614/d530411dex1014.htm" TargetMode="External"/><Relationship Id="rId233" Type="http://schemas.openxmlformats.org/officeDocument/2006/relationships/hyperlink" Target="https://www.sec.gov/Archives/edgar/data/1994702/000119312524008614/d530411dex1015.htm" TargetMode="External"/><Relationship Id="rId234" Type="http://schemas.openxmlformats.org/officeDocument/2006/relationships/hyperlink" Target="https://www.sec.gov/Archives/edgar/data/1994702/000121390024078736/ea021460701ex10-2_kyverna.htm" TargetMode="External"/><Relationship Id="rId235" Type="http://schemas.openxmlformats.org/officeDocument/2006/relationships/hyperlink" Target="https://www.sec.gov/Archives/edgar/data/1994702/000095017024131074/kytx-ex10_1.htm" TargetMode="External"/><Relationship Id="rId236" Type="http://schemas.openxmlformats.org/officeDocument/2006/relationships/hyperlink" Target="https://www.sec.gov/Archives/edgar/data/1994702/000095017024036481/kyt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2025-03-27T15:48:46Z</dcterms:created>
  <dcterms:modified xsi:type="dcterms:W3CDTF">2025-03-27T15:48:46Z</dcterms:modified>
</cp:coreProperties>
</file>