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KYVERNA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Bain Capital Life Sciences Opportunities 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2,885,000.00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2,885,000.00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2,885,000.00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KYVERNA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5980 Horton Street, Suite 200, Emeryville, California 94608</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Bain Capital Life Sciences Opportunities III, LP, a Delaware limited partnership (the "Reporting Person"). Bain Capital Life Sciences Investors, LLC, a Delaware limited liability company ("BCLSI"), is the manager of Bain Capital Life Sciences III General Partner, LLC, a Delaware limited liability company ("BCLS Fund III GP"), which is the general partner of Bain Capital Life Sciences Fund III, L.P., a Delaware limited partnership ("BCLS Fund III"), which is the sole member of Bain Capital Life Sciences Opportunities III GP, LLC, a Delaware limited liability company (together with the Reporting Person, BCLSI, BCLS Fund III GP and BCLS Fund III, the "Bain Capital Life Sciences Entities"), which is the general partner of the Reporting Person. As a result, BCLSI may be deemed to share voting and dispositive power with respect to the securities held by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for each of the Bain Capital Life Sciences Entities is 200 Clarendon Street,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Each of the Bain Capital Life Sciences Entities is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June 30, 2026, the Reporting Person held 2,885,000 shares of Common Stock, representing approximately 4.75% of the outstanding shares of Common Stock. The percentage of the outstanding shares of Common Stock held by the Reporting Person is based on 60,795,212 shares of Common Stock issued and outstanding, as reported by the Issuer in its Quarterly Report on Form 10-Q for the quarter ended March 31, 2026, filed with the Securities and Exchange Commission on May 12, 2026.</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4(a) hereof.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2,885,000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2,885,000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766" w:type="dxa"/>
        <w:jc w:val="left"/>
        <w:tblInd w:w="0" w:type="dxa"/>
        <w:tblLayout w:type="fixed"/>
        <w:tblCellMar>
          <w:top w:w="28" w:type="dxa"/>
          <w:left w:w="28" w:type="dxa"/>
          <w:bottom w:w="28" w:type="dxa"/>
          <w:right w:w="28" w:type="dxa"/>
        </w:tblCellMar>
      </w:tblPr>
      <w:tblGrid>
        <w:gridCol w:w="4883"/>
        <w:gridCol w:w="4883"/>
      </w:tblGrid>
      <w:tr>
        <w:trPr/>
        <w:tc>
          <w:tcPr>
            <w:tcW w:w="4883" w:type="dxa"/>
            <w:tcBorders/>
            <w:vAlign w:val="center"/>
          </w:tcPr>
          <w:p>
            <w:pPr>
              <w:pStyle w:val="TableContents"/>
              <w:bidi w:val="0"/>
              <w:spacing w:before="0" w:after="0"/>
              <w:jc w:val="left"/>
              <w:rPr/>
            </w:pPr>
            <w:r>
              <w:rPr/>
              <w:t> </w:t>
            </w:r>
          </w:p>
          <w:tbl>
            <w:tblPr>
              <w:tblW w:w="4726" w:type="dxa"/>
              <w:jc w:val="left"/>
              <w:tblInd w:w="0" w:type="dxa"/>
              <w:tblLayout w:type="fixed"/>
              <w:tblCellMar>
                <w:top w:w="28" w:type="dxa"/>
                <w:left w:w="28" w:type="dxa"/>
                <w:bottom w:w="28" w:type="dxa"/>
                <w:right w:w="28" w:type="dxa"/>
              </w:tblCellMar>
            </w:tblPr>
            <w:tblGrid>
              <w:gridCol w:w="4726"/>
            </w:tblGrid>
            <w:tr>
              <w:trPr/>
              <w:tc>
                <w:tcPr>
                  <w:tcW w:w="4726" w:type="dxa"/>
                  <w:tcBorders/>
                  <w:vAlign w:val="center"/>
                </w:tcPr>
                <w:p>
                  <w:pPr>
                    <w:pStyle w:val="TableContents"/>
                    <w:bidi w:val="0"/>
                    <w:spacing w:before="0" w:after="0"/>
                    <w:jc w:val="left"/>
                    <w:rPr/>
                  </w:pPr>
                  <w:r>
                    <w:rPr/>
                    <w:t>Bain Capital Life Sciences Opportunities III, LP</w:t>
                  </w:r>
                </w:p>
              </w:tc>
            </w:tr>
          </w:tbl>
          <w:p>
            <w:pPr>
              <w:pStyle w:val="TableContents"/>
              <w:bidi w:val="0"/>
              <w:spacing w:before="0" w:after="283"/>
              <w:jc w:val="left"/>
              <w:rPr/>
            </w:pPr>
            <w:r>
              <w:rPr/>
            </w:r>
          </w:p>
        </w:tc>
        <w:tc>
          <w:tcPr>
            <w:tcW w:w="48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Andrew Hack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Andrew Hack, Partner of Bain Capital Life Sciences Investors, LLC</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998</Words>
  <Characters>5178</Characters>
  <CharactersWithSpaces>6171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