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333-276523</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14,500,000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104775</wp:posOffset>
            </wp:positionV>
            <wp:extent cx="157734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Kyverna Therapeutics, Inc.</w:t>
      </w: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2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is an initial public offering of shares of common stock of Kyverna Therapeutics, Inc. We are offering 14,500,000 shares of our common</w:t>
      </w:r>
    </w:p>
    <w:p>
      <w:pPr>
        <w:spacing w:after="0" w:line="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w:t>
      </w:r>
    </w:p>
    <w:p>
      <w:pPr>
        <w:spacing w:after="0" w:line="99" w:lineRule="exact"/>
        <w:rPr>
          <w:sz w:val="24"/>
          <w:szCs w:val="24"/>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per share is $22.00. Our common stock has been approved for listing on the Nasdaq Global Select Market under the trading symbol “KYTX.”</w:t>
      </w:r>
    </w:p>
    <w:p>
      <w:pPr>
        <w:spacing w:after="0" w:line="54" w:lineRule="exact"/>
        <w:rPr>
          <w:sz w:val="24"/>
          <w:szCs w:val="24"/>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each as defined under the federal securities laws, and as such, we have elected to comply with certain reduced reporting requirements for this prospectus and may elect to do so in future filings. See “Prospectus Summary—Implications of Being an Emerging Growth Company and a Smaller Reporting Company.”</w:t>
      </w:r>
    </w:p>
    <w:p>
      <w:pPr>
        <w:spacing w:after="0" w:line="66" w:lineRule="exact"/>
        <w:rPr>
          <w:sz w:val="24"/>
          <w:szCs w:val="24"/>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See the section of this prospectus titled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xml:space="preserve"> ” beginning on page 16 to read about factors you should consider before buying shares of our common stock.</w:t>
      </w:r>
    </w:p>
    <w:p>
      <w:pPr>
        <w:spacing w:after="0" w:line="48" w:lineRule="exact"/>
        <w:rPr>
          <w:sz w:val="24"/>
          <w:szCs w:val="24"/>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9"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w:t>
            </w:r>
          </w:p>
        </w:tc>
        <w:tc>
          <w:tcPr>
            <w:tcW w:w="120" w:type="dxa"/>
            <w:vAlign w:val="bottom"/>
          </w:tcPr>
          <w:p>
            <w:pPr>
              <w:spacing w:after="0"/>
              <w:rPr>
                <w:sz w:val="13"/>
                <w:szCs w:val="13"/>
                <w:color w:val="auto"/>
              </w:rPr>
            </w:pPr>
          </w:p>
        </w:tc>
        <w:tc>
          <w:tcPr>
            <w:tcW w:w="9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22.00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319,000,000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22,330,000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Kyverna Therapeutics, Inc.</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20.46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296,670,000</w:t>
            </w:r>
          </w:p>
        </w:tc>
        <w:tc>
          <w:tcPr>
            <w:tcW w:w="0" w:type="dxa"/>
            <w:vAlign w:val="bottom"/>
          </w:tcPr>
          <w:p>
            <w:pPr>
              <w:spacing w:after="0"/>
              <w:rPr>
                <w:sz w:val="1"/>
                <w:szCs w:val="1"/>
                <w:color w:val="auto"/>
              </w:rPr>
            </w:pPr>
          </w:p>
        </w:tc>
      </w:tr>
    </w:tbl>
    <w:p>
      <w:pPr>
        <w:spacing w:after="0" w:line="103"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of this prospectus titled “Underwriting” for a description of the compensation payable to the underwriters.</w:t>
      </w:r>
    </w:p>
    <w:p>
      <w:pPr>
        <w:spacing w:after="0" w:line="117" w:lineRule="exact"/>
        <w:rPr>
          <w:sz w:val="24"/>
          <w:szCs w:val="24"/>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2,175,000 additional shares from us at the initial public offering price less underwriting discounts and commissions.</w:t>
      </w:r>
    </w:p>
    <w:p>
      <w:pPr>
        <w:spacing w:after="0" w:line="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to purchasers on or about February 12, 2024.</w:t>
      </w:r>
    </w:p>
    <w:p>
      <w:pPr>
        <w:spacing w:after="0" w:line="117" w:lineRule="exact"/>
        <w:rPr>
          <w:sz w:val="24"/>
          <w:szCs w:val="24"/>
          <w:color w:val="auto"/>
        </w:rPr>
      </w:pPr>
    </w:p>
    <w:p>
      <w:pPr>
        <w:ind w:left="820"/>
        <w:spacing w:after="0"/>
        <w:tabs>
          <w:tab w:leader="none" w:pos="3400" w:val="left"/>
          <w:tab w:leader="none" w:pos="6200" w:val="left"/>
          <w:tab w:leader="none" w:pos="8760" w:val="left"/>
        </w:tabs>
        <w:rPr>
          <w:sz w:val="20"/>
          <w:szCs w:val="20"/>
          <w:color w:val="auto"/>
        </w:rPr>
      </w:pPr>
      <w:r>
        <w:rPr>
          <w:rFonts w:ascii="Times New Roman" w:cs="Times New Roman" w:eastAsia="Times New Roman" w:hAnsi="Times New Roman"/>
          <w:sz w:val="22"/>
          <w:szCs w:val="22"/>
          <w:b w:val="1"/>
          <w:bCs w:val="1"/>
          <w:color w:val="auto"/>
        </w:rPr>
        <w:t>J.P. Morgan</w:t>
      </w:r>
      <w:r>
        <w:rPr>
          <w:sz w:val="20"/>
          <w:szCs w:val="20"/>
          <w:color w:val="auto"/>
        </w:rPr>
        <w:tab/>
      </w:r>
      <w:r>
        <w:rPr>
          <w:rFonts w:ascii="Times New Roman" w:cs="Times New Roman" w:eastAsia="Times New Roman" w:hAnsi="Times New Roman"/>
          <w:sz w:val="22"/>
          <w:szCs w:val="22"/>
          <w:b w:val="1"/>
          <w:bCs w:val="1"/>
          <w:color w:val="auto"/>
        </w:rPr>
        <w:t>Morgan Stanley</w:t>
      </w:r>
      <w:r>
        <w:rPr>
          <w:sz w:val="20"/>
          <w:szCs w:val="20"/>
          <w:color w:val="auto"/>
        </w:rPr>
        <w:tab/>
      </w:r>
      <w:r>
        <w:rPr>
          <w:rFonts w:ascii="Times New Roman" w:cs="Times New Roman" w:eastAsia="Times New Roman" w:hAnsi="Times New Roman"/>
          <w:sz w:val="22"/>
          <w:szCs w:val="22"/>
          <w:b w:val="1"/>
          <w:bCs w:val="1"/>
          <w:color w:val="auto"/>
        </w:rPr>
        <w:t>Leerink Partners</w:t>
      </w:r>
      <w:r>
        <w:rPr>
          <w:sz w:val="20"/>
          <w:szCs w:val="20"/>
          <w:color w:val="auto"/>
        </w:rPr>
        <w:tab/>
      </w:r>
      <w:r>
        <w:rPr>
          <w:rFonts w:ascii="Times New Roman" w:cs="Times New Roman" w:eastAsia="Times New Roman" w:hAnsi="Times New Roman"/>
          <w:sz w:val="21"/>
          <w:szCs w:val="21"/>
          <w:b w:val="1"/>
          <w:bCs w:val="1"/>
          <w:color w:val="auto"/>
        </w:rPr>
        <w:t>Wells Fargo Securities</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dated February 7, 2024.</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2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12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67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3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46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962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1004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100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Management</w:t>
            </w:r>
          </w:p>
        </w:tc>
        <w:tc>
          <w:tcPr>
            <w:tcW w:w="97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84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96"/>
        </w:trPr>
        <w:tc>
          <w:tcPr>
            <w:tcW w:w="39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Principal Stockholders</w:t>
            </w:r>
          </w:p>
        </w:tc>
        <w:tc>
          <w:tcPr>
            <w:tcW w:w="670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842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to Non-U.S. Holders</w:t>
            </w:r>
          </w:p>
        </w:tc>
        <w:tc>
          <w:tcPr>
            <w:tcW w:w="55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1100" w:type="dxa"/>
            <w:vAlign w:val="bottom"/>
            <w:tcBorders>
              <w:top w:val="single" w:sz="8" w:color="0000EE"/>
            </w:tcBorders>
            <w:gridSpan w:val="3"/>
          </w:tcPr>
          <w:p>
            <w:pPr>
              <w:spacing w:after="0"/>
              <w:rPr>
                <w:sz w:val="17"/>
                <w:szCs w:val="17"/>
                <w:color w:val="auto"/>
              </w:rPr>
            </w:pPr>
          </w:p>
        </w:tc>
        <w:tc>
          <w:tcPr>
            <w:tcW w:w="7400" w:type="dxa"/>
            <w:vAlign w:val="bottom"/>
            <w:gridSpan w:val="5"/>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any free writing prospectus that we may provide to you in connection with this offering. We have not, and the underwriters have not, authorized anyone to provide you with different information or to make any other representations, and we and the underwriters take no responsibility for, and can provide no assurance as to the reliability of, any other information others may give you. We are offering to sell, and seeking offers to buy, shares of our common stock only under circumstances and in jurisdictions where it is lawful to do so. We are not, and the underwriters are not, making an offer to sell these securities in any jurisdiction where the offer or sale is not permitted. You should not assume that the information contained in this prospectus is accurate as of any date other than its date. Our business, financial condition, results of operations and prospects may have changed since that date.</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underwriters have done anything that would permit this offering or the possession or distribution of this prospectus in any jurisdiction where action for those purposes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and is qualified in its entirety by the more detailed information included elsewhere in this prospectus. This summary does not contain all of the information you should consider before investing in our common stock. You should read this entire prospectus carefully, including the sections of this prospectus titled</w:t>
      </w:r>
    </w:p>
    <w:p>
      <w:pPr>
        <w:spacing w:after="0" w:line="1"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i w:val="1"/>
          <w:iCs w:val="1"/>
          <w:color w:val="auto"/>
        </w:rPr>
        <w:t>“Risk Factors”, “Special Note Regarding Forward-Looking Statements” and “Management’s Discussion and Analysis of Financial Condition and Results of Operations,” and our financial statements and the related notes included elsewhere in this prospectus before making an investment decision. Unless the context otherwise requires, the terms “Kyverna,” “we,” “us,” “our” or similar terms refer to Kyverna Therapeutics, Inc.</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We are a patient-centered, clinical-stage biopharmaceutical company focused on developing cell therapies for patients suffering from autoimmune diseases. Our goal is to bring disease-modifying therapeutic benefits to patients suffering from autoimmune diseases through our patient-centered approach, our broad platform, our insights into treating immune disorders and the learnings from successful application of cell therapy in other areas of medicine. Our cell therapy approach to the treatment of autoimmune diseases is supported by the scientific publication of multiple autoimmune case studies using CD19 CAR T-cell treatment as well as early clinical data from our ongoing trials illustrating the disease-modifying potential of these therapies. This validation provides us with a clear path to continue advancing our lead product candidate, KYV-101, through clinical development across two broad areas of autoimmune disease: rheumatology and neurology.</w:t>
      </w:r>
    </w:p>
    <w:p>
      <w:pPr>
        <w:spacing w:after="0" w:line="189" w:lineRule="exact"/>
        <w:rPr>
          <w:sz w:val="20"/>
          <w:szCs w:val="20"/>
          <w:color w:val="auto"/>
        </w:rPr>
      </w:pPr>
    </w:p>
    <w:p>
      <w:pPr>
        <w:ind w:left="300" w:firstLine="426"/>
        <w:spacing w:after="0" w:line="239" w:lineRule="auto"/>
        <w:rPr>
          <w:sz w:val="20"/>
          <w:szCs w:val="20"/>
          <w:color w:val="auto"/>
        </w:rPr>
      </w:pPr>
      <w:r>
        <w:rPr>
          <w:rFonts w:ascii="Times New Roman" w:cs="Times New Roman" w:eastAsia="Times New Roman" w:hAnsi="Times New Roman"/>
          <w:sz w:val="18"/>
          <w:szCs w:val="18"/>
          <w:color w:val="auto"/>
        </w:rPr>
        <w:t xml:space="preserve">Our lead program, KYV-101, is an autologous CD19 CAR T-cell product candidate made from an underlying chimeric antigen receptor, or CAR, that we have licensed from the National Institutes of Health, or the NIH. This underlying CAR in KYV-101 has completed a 20-patient Phase 1 trial in oncology conducted by the NIH, and the results from this Phase 1 trial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reported improved tolerability in the clinic among adult oncology patients using the same CAR construct in KYV-101, as compared to the CAR used to create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underlying CAR in KYV-101 was designed by the NIH to improve tolerability through a systematic comparison of CARs created with alternate domain structures, identifying the use of a fully human CD19 binding domain and optimized hinge and transmembrane domains. We believe that these differentiated properties of the underlying CAR construct in KYV-101 are critical for the potential success of CAR T cells as autoimmune disease therapies.</w:t>
      </w:r>
    </w:p>
    <w:p>
      <w:pPr>
        <w:spacing w:after="0" w:line="203"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intend to develop KYV-101 in two broad areas of autoimmune disease: rheumatology and neurology. Our initial rheumatology development focus is on lupus nephritis, or LN, and systemic sclerosis, or SSc. We are conducting two trials of KYV-101 in patients with LN, an autoimmune disease in which more than half of patients do not achieve a complete response to current therapies and are at risk of developing kidney failure. In addition to LN, we received Investigational New Drug, or IND, clearance in October 2023 for a Phase 1/2 study in SSc. We intend to initially focus our neurology development on myasthenia gravis, or MG, and multiple sclerosis, or MS. We received IND clearance in November 2023 for a Phase 2 study in MG, and we received IND clearance in December 2023 for a Phase 2 study in MS. We believe our approach may present a significant advantage over current standard-of-care therapies for autoimmune diseases by aiming to directly deplete B cells and potentially resetting disease-contributing B cells.</w:t>
      </w:r>
    </w:p>
    <w:p>
      <w:pPr>
        <w:spacing w:after="0" w:line="192"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are also actively developing an allogeneic, off-the-shelf approach to further broaden patient access. To this end, we have partnered with Intellia Therapeutics, Inc., or Intellia, a leader in the field of gene editing, to develop KYV-201, an allogeneic CD19 CAR T-cell product candidate. Our research-stage programs are focused on developing product candidates to treat other autoimmune diseases, such as inflammatory bowel disease, or IBD, which includes Crohn’s disease and ulcerative colitis, and extend beyond CD19 CAR-T approaches, including regulatory T cells, or T-regs, and novel humanized CAR constructs developed by us for use in autoimmune diseases.</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Translating transformational experience with cell therapies to autoimmune diseases</w:t>
      </w:r>
    </w:p>
    <w:p>
      <w:pPr>
        <w:spacing w:after="0" w:line="119"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We believe the success of cell therapies such as CAR T-cell therapies in oncology have paved the way for the application of cell therapies in other therapeutic areas. Pathologic B cells are the cause of a number of hematological malignancies, such as B-cell lymphoma. In recent years, multiple engineered cell therapies have been approved that can eliminate these B cells, resulting in long-term complete responses in lymphoma patients refractory to other therapies. One of the most widely used, studied and clinically validated engineered cell therapies is CAR T-cell therapy, a form of immunotherapy whereby the patient’s T cells are engineered to express a CAR that recognizes and binds to a specific antigen present on tumor cells to generate an anti-tumor immune response. CAR T cells for this therapy are generated by isolating T cells from the patient and introducing a CAR construct that directs these modified T cells to attack B cells based on the expression of a common antigen, CD19.</w:t>
      </w:r>
    </w:p>
    <w:p>
      <w:pPr>
        <w:spacing w:after="0" w:line="18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Autoimmune diseases affect organs throughout the body. A common characteristic of many of these diseases is the presence of autoantibodies, antibodies produced by the body’s B cells that mistakenly attack other cells and tissues in the body. Given that the therapeutic benefit associated with B-cell depletion is common between B-cell-driven hematologic malignancies and autoimmune diseases, we anticipated that CD19 CAR T cells would have therapeutic benefits in autoimmune diseases, a result that has now been observed in the publication of a number of case studies.</w:t>
      </w:r>
    </w:p>
    <w:p>
      <w:pPr>
        <w:spacing w:after="0" w:line="18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 xml:space="preserve">In academic clinical data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in September 2022, a CD19 CAR T-cell therapy was observed to induce clinical remission in all five systemic lupus erythematosus, or SLE, patients with lupus nephritis. All patients experienced significant improvements in Systemic Lupus Erythematosus Disease Activity Index 2000, or SLEDAI-2K, scores. Scores of zero, corresponding to no disease activity on such index, were achieved in four patients by three months post treatment and a score of two in one patient due to residual low-level proteinuria that was likely due to previously accumulated kidney damage. Several other important observations were the elimination of autoantibodies, B-cell reconstitution after an average time of 110 days of CAR T infusion in all patients, preservation of vaccination responses, and that treatment was well tolerated, with either no or mild cytokine release syndrome, or CRS. Further, in clinical data published in the </w:t>
      </w:r>
      <w:r>
        <w:rPr>
          <w:rFonts w:ascii="Times New Roman" w:cs="Times New Roman" w:eastAsia="Times New Roman" w:hAnsi="Times New Roman"/>
          <w:sz w:val="18"/>
          <w:szCs w:val="18"/>
          <w:i w:val="1"/>
          <w:iCs w:val="1"/>
          <w:color w:val="auto"/>
        </w:rPr>
        <w:t>New England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Medicine </w:t>
      </w:r>
      <w:r>
        <w:rPr>
          <w:rFonts w:ascii="Times New Roman" w:cs="Times New Roman" w:eastAsia="Times New Roman" w:hAnsi="Times New Roman"/>
          <w:sz w:val="18"/>
          <w:szCs w:val="18"/>
          <w:color w:val="auto"/>
        </w:rPr>
        <w:t>in 2021, a 20-year-old woman with severe and refractory SLE was observed to experience rapid remission of symptoms and autoantibody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levels following a single treatment with autologous CD19 CAR T cells. This patient has been in remission for at least 600 days and is included in the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publication mentioned above. We believe the foregoing academic clinical data, including the rapid depletion of B cells upon initiation of treatment and subsequently observed naïve B-cell reconstitution, suggest that CD19 CAR T-cell therapy could potentially lead to significant clinical benefit and reset the immune system with a single, well-tolerated treatment. However, the foregoing data was obtained by a third party outside of a formal clinical trial setting and we are seeking to validate this premise through well-controlled, multicenter clinical trials that demonstrate statistically significant results.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High prevalence and unmet need across autoimmune diseases</w:t>
      </w:r>
    </w:p>
    <w:p>
      <w:pPr>
        <w:spacing w:after="0" w:line="119" w:lineRule="exact"/>
        <w:rPr>
          <w:sz w:val="20"/>
          <w:szCs w:val="20"/>
          <w:color w:val="auto"/>
        </w:rPr>
      </w:pPr>
    </w:p>
    <w:p>
      <w:pPr>
        <w:ind w:left="300" w:right="40" w:firstLine="426"/>
        <w:spacing w:after="0" w:line="273" w:lineRule="auto"/>
        <w:rPr>
          <w:sz w:val="20"/>
          <w:szCs w:val="20"/>
          <w:color w:val="auto"/>
        </w:rPr>
      </w:pPr>
      <w:r>
        <w:rPr>
          <w:rFonts w:ascii="Times New Roman" w:cs="Times New Roman" w:eastAsia="Times New Roman" w:hAnsi="Times New Roman"/>
          <w:sz w:val="17"/>
          <w:szCs w:val="17"/>
          <w:color w:val="auto"/>
        </w:rPr>
        <w:t>Over 80 diseases are classified as autoimmune diseases affecting up to 8% of the U.S. population. Moreover, the prevalence of autoimmunity is on the rise in the United States. Over the last 25 years, researchers have observed a 44% increase in the presence of antinuclear antibodies, the autoantibody in lupus, affecting 41 million people. These autoantibodies represent an early sign of autoimmune diseases, which develop in about 30% of these individuals over a five- to ten-year period. The chronic and debilitating nature of these diseases leads to both high medical costs and reduced quality of life, creating a significant burden for patients, their families and the health care system. It is estimated that sales for autoimmune disease therapies were greater than $80 billion globally in 2021. Despite the availability of many approved drugs, there remains substantial unmet clinical need, as existing therapies are rarely considered curative and the majority of patients do not respond optimally, if at all, to these therapies.</w:t>
      </w: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0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Current autoimmune disease treatments such as hematopoietic stem cell transplantation, or HSCT, and the use of B-cell-targeting monoclonal antibodies have led to therapeutic responses, but the majority of patients do not benefit either because of unacceptable toxicity risks or due to weak or short-lived activity. The HSCT process leads to depletion of the patient’s immune system, and is a procedure associated with potentially life-threatening complications and its use to treat autoimmune disease is primarily as a salvage therapy for patients with severe refractory disease. Poor or mixed results have also been reported from patients with SLE, inflammatory myositis and autoimmune hepatitis when using monoclonal antibodies targeted against CD20, such as rituximab. We believe that the poor efficacy of anti-CD20 antibodies for these indications may be due in part to limited antibody activity in diseased tissue due to the weak tissue-penetrating ability of antibodies.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pipeline and programs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portfolio of product candidates for the treatment of autoimmune diseases is summarized in the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firstLine="426"/>
        <w:spacing w:after="0" w:line="243" w:lineRule="auto"/>
        <w:rPr>
          <w:sz w:val="20"/>
          <w:szCs w:val="20"/>
          <w:color w:val="auto"/>
        </w:rPr>
      </w:pPr>
      <w:r>
        <w:rPr>
          <w:rFonts w:ascii="Times New Roman" w:cs="Times New Roman" w:eastAsia="Times New Roman" w:hAnsi="Times New Roman"/>
          <w:sz w:val="18"/>
          <w:szCs w:val="18"/>
          <w:color w:val="auto"/>
        </w:rPr>
        <w:t>KYV-101, a fully human CD19 CAR T-cell therapy, was created using a CAR designed by the NIH to improve tolerability through the use of a fully human CD19 binding domain and optimized hinge and transmembrane domains. We in-licensed this highly differentiated CD19 CAR contained in KYV-101 and KYV-201 from the NIH. In an oncology Phase 1 trial conducted at the National Cancer Institute of the NIH, patients treated with the CD19 CAR used in KYV-101, referred to as Hu19-CD828Z, were found to experience lower levels of inflammatory cytokines, such as TNFa and IL-6, versus alternative CARs such as FMC63-28Z, the CAR used to create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addition to a fully human single-chain fragment variable domain, Hu19-CD828Z was also designed with a human CD8α hinge and transmembrane domain, a human CD28 costimulatory domain, and a human CD3z activation domain. We believe that this combination of components produces a CAR with a differentiated safety profile. Treatment with Hu19-CD828Z CAR T cells resulted in significantly lower rate of mild and severe neurotoxicity than previously observed in patients treated with FMC63-CD28Z at the same clinic. Despite the lower levels of inflammatory cytokine and neurotoxicity, Hu19-CD828Z still led to similar rates of durable antitumor responses. We believe that this favorable profile has the potential to be critical for the application of CAR T-cell therapies in indications such as autoimmune diseases, where there may be lower tolerance for treatment-related serious, and potentially fatal, adverse events.</w:t>
      </w:r>
    </w:p>
    <w:p>
      <w:pPr>
        <w:spacing w:after="0" w:line="200" w:lineRule="exact"/>
        <w:rPr>
          <w:sz w:val="20"/>
          <w:szCs w:val="20"/>
          <w:color w:val="auto"/>
        </w:rPr>
      </w:pPr>
    </w:p>
    <w:p>
      <w:pPr>
        <w:ind w:left="300" w:right="60" w:firstLine="426"/>
        <w:spacing w:after="0" w:line="289" w:lineRule="auto"/>
        <w:rPr>
          <w:sz w:val="20"/>
          <w:szCs w:val="20"/>
          <w:color w:val="auto"/>
        </w:rPr>
      </w:pPr>
      <w:r>
        <w:rPr>
          <w:rFonts w:ascii="Times New Roman" w:cs="Times New Roman" w:eastAsia="Times New Roman" w:hAnsi="Times New Roman"/>
          <w:sz w:val="17"/>
          <w:szCs w:val="17"/>
          <w:color w:val="auto"/>
        </w:rPr>
        <w:t>We intend to develop KYV-101 in two broad areas of autoimmune disease: rheumatology and neurology. Our first clinical development program for KYV-101 is in lupus nephritis, a kidney disease that commonly develops in patients with SLE. We estimate that there are up to 40,000 lupus nephritis patients in the United States that are resistant to current therapies and are at high risk of developing kidney failure. In addition</w:t>
      </w:r>
    </w:p>
    <w:p>
      <w:pPr>
        <w:spacing w:after="0" w:line="26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to this high unmet clinical need, there are several factors that we believe position lupus nephritis as an attractive lead indication, including promising early data from our ongoing clinical studies; clinical insights from promising case reports; the ability to achieve and measure clinically meaningful improvements in relatively short clinical trials; and recent regulatory precedents establishing clear and objective clinical endpoints for approval. We are conducting and sponsoring clinical trials in lupus nephritis in both the United States and Germany.</w:t>
      </w:r>
    </w:p>
    <w:p>
      <w:pPr>
        <w:spacing w:after="0" w:line="180" w:lineRule="exact"/>
        <w:rPr>
          <w:sz w:val="20"/>
          <w:szCs w:val="20"/>
          <w:color w:val="auto"/>
        </w:rPr>
      </w:pPr>
    </w:p>
    <w:p>
      <w:pPr>
        <w:ind w:left="300" w:right="40" w:firstLine="426"/>
        <w:spacing w:after="0" w:line="268" w:lineRule="auto"/>
        <w:rPr>
          <w:sz w:val="20"/>
          <w:szCs w:val="20"/>
          <w:color w:val="auto"/>
        </w:rPr>
      </w:pPr>
      <w:r>
        <w:rPr>
          <w:rFonts w:ascii="Times New Roman" w:cs="Times New Roman" w:eastAsia="Times New Roman" w:hAnsi="Times New Roman"/>
          <w:sz w:val="17"/>
          <w:szCs w:val="17"/>
          <w:color w:val="auto"/>
        </w:rPr>
        <w:t>We are exploring the potential of KYV-101 in other indications through a combination of investigator- initiated clinical trials in the United States and named patient activities by individual physicians (including, for example, “</w:t>
      </w:r>
      <w:r>
        <w:rPr>
          <w:rFonts w:ascii="Times New Roman" w:cs="Times New Roman" w:eastAsia="Times New Roman" w:hAnsi="Times New Roman"/>
          <w:sz w:val="17"/>
          <w:szCs w:val="17"/>
          <w:i w:val="1"/>
          <w:iCs w:val="1"/>
          <w:color w:val="auto"/>
        </w:rPr>
        <w:t>Individueller Heilversuch</w:t>
      </w:r>
      <w:r>
        <w:rPr>
          <w:rFonts w:ascii="Times New Roman" w:cs="Times New Roman" w:eastAsia="Times New Roman" w:hAnsi="Times New Roman"/>
          <w:sz w:val="17"/>
          <w:szCs w:val="17"/>
          <w:color w:val="auto"/>
        </w:rPr>
        <w:t>,” or single-patient treatment healing attempts, in Germany) outside of our sponsored clinical trials. We supply KYV-101 for use in qualified patients who have exhausted other treatment options and for whom there are strong patient- and indication-related scientific rationales. This strategy aligns with our mission to prioritize patient needs while providing us insight to help de-risk additional potential indications where our autoimmune cell therapy approach can benefit patients who are refractory to existing therapies. These investigator-initiated trials and named patient activities are not part of our clinical trials for KYV-101 and data from these trials and activities are reported by the relevant investigators and physicians. Such data are not obtained using a single protocol or designed to be aggregated or reported as study results, and may be highly variable. While we do not expect to be able to use the results from these investigator-initiated trials or named patient activities in our applications for marketing approval to the U.S. Food and Drug Administration, or the FDA, or other foreign regulatory agencies, we believe that this strategy may provide some competitive advantage as we will be able to acquire additional clinical insights beyond highly focused clinical trials in specific geographies. In September 2023, Stanford received IND clearance for an investigator-initiated trial of KYV-101 in MS, and in November 2023, the University of Pennsylvania received IND clearance for an investigator-initiated trial of KYV-101 in a basket of rheumatology indications. Additionally, the University of California, San Francisco and the University of Massachusetts are also preparing additional IND applications to begin investigator-initiated trials of KYV-101.</w:t>
      </w:r>
    </w:p>
    <w:p>
      <w:pPr>
        <w:spacing w:after="0" w:line="184"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the near term, we plan to initiate KYV-101 in Kyverna-sponsored clinical trials in SSc, MG and MS. In October 2023, we received IND clearance for SSc, in November 2023 we received IND clearance for a Phase 2 study in MG, and in December 2023 we received IND clearance for a Phase 2 study in MS.</w:t>
      </w:r>
    </w:p>
    <w:p>
      <w:pPr>
        <w:spacing w:after="0" w:line="176"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 xml:space="preserve">We are also developing KYV-201, an allogeneic therapy containing the same CAR as KYV-101, with the intent of developing it in multiple autoimmune diseases. We believe that developing an allogeneic CD19 CAR T-cell therapy could further broaden patient access to potentially transformative CAR T-cell therapy. We have partnered with Intellia to apply its gene editing technology to the creation of KYV-201. The combination of our CD19 CAR licensed from the NIH and Intellia’s differentiated technology platform has led to the creation of a product candidate in which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matches the cell killing activity of KYV-101 but does so in the context of allogeneic cells.</w:t>
      </w:r>
    </w:p>
    <w:p>
      <w:pPr>
        <w:spacing w:after="0" w:line="18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research-stage programs are focused on developing product candidates to treat other autoimmune diseases such as inflammatory bowel disease, or IBD, which includes Crohn’s disease and ulcerative colitis. These programs include a suite of capabilities related to T-regs developed through our completed research collaboration with Gilead Sciences, Inc., or Gilead, and novel humanized CAR constructs developed by us for use in autoimmunity. T-regs are a subset of CD4+ T cells that maintain tolerance in the periphery through multiple mechanisms involving both soluble mediators and direct cell-cell interactions. Clinical use of polyclonal, non-engineered T-regs has not yielded optimal therapeutic effects to date in autoimmune disease settings. However, we believe the use of antigen-specific T-regs, possibly through use of a CAR, holds promise by enhancing homing to antigen-specific effector T cells or sites of inflammation. Published reports in multiple pre-clinical animal models of autoimmunity have demonstrated that antigen-specific T-regs are significantly more effective than polyclonal T-regs. We are in the process of preparing a publication that addresses the therapeutic use of T-regs using a CAR and our differentiated approach that is the product of our significant investments in this modality.</w:t>
      </w: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13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Manufacturing capabilities</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are developing a robust manufacturing process for KYV-101 and have partnered with an experienced contract development and manufacturing organization, WuXi ATU Advanced Therapies, Inc., to generate KYV-101 for near-term clinical trials and named patient supply. In parallel, we are developing Ingenui-T, a manufacturing process designed to improve patient experience and manufacturing capabilities through partnerships with world-class organizations in cell therapy manufacturing, including ElevateBio, LLC.</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history and team</w:t>
      </w:r>
    </w:p>
    <w:p>
      <w:pPr>
        <w:spacing w:after="0" w:line="119"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were founded in 2018 with the goal of bringing life-changing therapeutic benefits to patients suffering from autoimmune diseases. Our leadership team has deep industry experience. Since our inception, we have raised approximately $170 million in equity capital from investors that have significant life sciences experience and that share our vision to create a leading company in the autoimmunity field.</w:t>
      </w:r>
    </w:p>
    <w:p>
      <w:pPr>
        <w:spacing w:after="0" w:line="172" w:lineRule="exact"/>
        <w:rPr>
          <w:sz w:val="20"/>
          <w:szCs w:val="20"/>
          <w:color w:val="auto"/>
        </w:rPr>
      </w:pPr>
    </w:p>
    <w:p>
      <w:pPr>
        <w:ind w:left="300" w:firstLine="4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Peter Maag, Ph.D.</w:t>
      </w:r>
      <w:r>
        <w:rPr>
          <w:rFonts w:ascii="Times New Roman" w:cs="Times New Roman" w:eastAsia="Times New Roman" w:hAnsi="Times New Roman"/>
          <w:sz w:val="18"/>
          <w:szCs w:val="18"/>
          <w:color w:val="auto"/>
        </w:rPr>
        <w:t>, our Chief Executive Officer, has over 20 years of executive management experience in the pharmaceutical and diagnostic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industries, most recently serving as Executive Chairman and Chief Executive Officer of CareDx, which he led from its time as a small startup through its emergence as a public company with a $5 billion market value in 2022.</w:t>
      </w:r>
    </w:p>
    <w:p>
      <w:pPr>
        <w:spacing w:after="0" w:line="171" w:lineRule="exact"/>
        <w:rPr>
          <w:sz w:val="20"/>
          <w:szCs w:val="20"/>
          <w:color w:val="auto"/>
        </w:rPr>
      </w:pPr>
    </w:p>
    <w:p>
      <w:pPr>
        <w:ind w:left="300" w:right="180" w:firstLine="4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Dominic Borie, M.D., Ph.D.</w:t>
      </w:r>
      <w:r>
        <w:rPr>
          <w:rFonts w:ascii="Times New Roman" w:cs="Times New Roman" w:eastAsia="Times New Roman" w:hAnsi="Times New Roman"/>
          <w:sz w:val="18"/>
          <w:szCs w:val="18"/>
          <w:color w:val="auto"/>
        </w:rPr>
        <w:t>, our President, Research and Development, has a deep background in immunology and is a digestive tract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liver transplant surgeon. Dr. Borie previously had leadership positions at Horizon Therapeutics, Genentech, Amgen and Roche.</w:t>
      </w:r>
    </w:p>
    <w:p>
      <w:pPr>
        <w:spacing w:after="0" w:line="155" w:lineRule="exact"/>
        <w:rPr>
          <w:sz w:val="20"/>
          <w:szCs w:val="20"/>
          <w:color w:val="auto"/>
        </w:rPr>
      </w:pPr>
    </w:p>
    <w:p>
      <w:pPr>
        <w:ind w:left="300" w:right="420" w:firstLine="426"/>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James Chung, M.D., Ph.D.</w:t>
      </w:r>
      <w:r>
        <w:rPr>
          <w:rFonts w:ascii="Times New Roman" w:cs="Times New Roman" w:eastAsia="Times New Roman" w:hAnsi="Times New Roman"/>
          <w:sz w:val="18"/>
          <w:szCs w:val="18"/>
          <w:color w:val="auto"/>
        </w:rPr>
        <w:t>, our Chief Medical Officer, previously served as Executive Medical Director and head of Inflammation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Neuroscience, Global Medical Organization, and Global Development Leader for ENBREL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Amgen.</w:t>
      </w:r>
    </w:p>
    <w:p>
      <w:pPr>
        <w:spacing w:after="0" w:line="18" w:lineRule="exact"/>
        <w:rPr>
          <w:sz w:val="20"/>
          <w:szCs w:val="20"/>
          <w:color w:val="auto"/>
        </w:rPr>
      </w:pPr>
    </w:p>
    <w:p>
      <w:pPr>
        <w:ind w:left="300" w:right="260" w:firstLine="4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Karen Walker</w:t>
      </w:r>
      <w:r>
        <w:rPr>
          <w:rFonts w:ascii="Times New Roman" w:cs="Times New Roman" w:eastAsia="Times New Roman" w:hAnsi="Times New Roman"/>
          <w:sz w:val="18"/>
          <w:szCs w:val="18"/>
          <w:color w:val="auto"/>
        </w:rPr>
        <w:t>, our Chief Technology Officer, has broad and deep industry experience in developing biopharmaceuticals and cell and gene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therapy products at Roche/Genentech, Seattle Genetics, Novartis and other leading pharmaceutical companies.</w:t>
      </w:r>
    </w:p>
    <w:p>
      <w:pPr>
        <w:spacing w:after="0" w:line="155" w:lineRule="exact"/>
        <w:rPr>
          <w:sz w:val="20"/>
          <w:szCs w:val="20"/>
          <w:color w:val="auto"/>
        </w:rPr>
      </w:pPr>
    </w:p>
    <w:p>
      <w:pPr>
        <w:ind w:left="300" w:right="100" w:firstLine="4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Ryan Jones</w:t>
      </w:r>
      <w:r>
        <w:rPr>
          <w:rFonts w:ascii="Times New Roman" w:cs="Times New Roman" w:eastAsia="Times New Roman" w:hAnsi="Times New Roman"/>
          <w:sz w:val="18"/>
          <w:szCs w:val="18"/>
          <w:color w:val="auto"/>
        </w:rPr>
        <w:t>, our Chief Financial Officer, was part of our founding team and has extensive industry experience in healthcare and life science,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at GE Ventures and Thermo Fisher Scientific.</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Our mission is to bring life-changing therapeutic benefits to patients suffering from autoimmune diseases. We intend to develop cell therapy product candidates with efficacy across multiple types of autoimmune diseases, including highly prevalent indications with high unmet clinical needs. We plan to pursue our mission through the following strategies:</w:t>
      </w:r>
    </w:p>
    <w:p>
      <w:pPr>
        <w:spacing w:after="0" w:line="77"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Transforming autoimmune patients’ experiences through cell therapies.</w:t>
      </w:r>
    </w:p>
    <w:p>
      <w:pPr>
        <w:spacing w:after="0" w:line="130" w:lineRule="exact"/>
        <w:rPr>
          <w:rFonts w:ascii="Times New Roman" w:cs="Times New Roman" w:eastAsia="Times New Roman" w:hAnsi="Times New Roman"/>
          <w:sz w:val="18"/>
          <w:szCs w:val="18"/>
          <w:b w:val="1"/>
          <w:bCs w:val="1"/>
          <w:color w:val="auto"/>
        </w:rPr>
      </w:pPr>
    </w:p>
    <w:p>
      <w:pPr>
        <w:ind w:left="1240" w:right="980" w:hanging="415"/>
        <w:spacing w:after="0" w:line="286" w:lineRule="auto"/>
        <w:tabs>
          <w:tab w:leader="none" w:pos="12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Advancing KYV-101 through a broad clinical trial program, and driving the value of CD19 CAR T-cell therapy in autoimmune diseases.</w:t>
      </w:r>
    </w:p>
    <w:p>
      <w:pPr>
        <w:spacing w:after="0" w:line="60" w:lineRule="exact"/>
        <w:rPr>
          <w:rFonts w:ascii="Times New Roman" w:cs="Times New Roman" w:eastAsia="Times New Roman" w:hAnsi="Times New Roman"/>
          <w:sz w:val="18"/>
          <w:szCs w:val="18"/>
          <w:b w:val="1"/>
          <w:bCs w:val="1"/>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Advancing KYV-201 into clinical trials.</w:t>
      </w:r>
    </w:p>
    <w:p>
      <w:pPr>
        <w:spacing w:after="0" w:line="130" w:lineRule="exact"/>
        <w:rPr>
          <w:rFonts w:ascii="Times New Roman" w:cs="Times New Roman" w:eastAsia="Times New Roman" w:hAnsi="Times New Roman"/>
          <w:sz w:val="18"/>
          <w:szCs w:val="18"/>
          <w:b w:val="1"/>
          <w:bCs w:val="1"/>
          <w:color w:val="auto"/>
        </w:rPr>
      </w:pPr>
    </w:p>
    <w:p>
      <w:pPr>
        <w:ind w:left="1240" w:right="100" w:hanging="415"/>
        <w:spacing w:after="0" w:line="286" w:lineRule="auto"/>
        <w:tabs>
          <w:tab w:leader="none" w:pos="12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Expanding access and clinical experience with our product candidates through investigator-initiated trials and named patient activities in line with our patient-centered focus.</w:t>
      </w:r>
    </w:p>
    <w:p>
      <w:pPr>
        <w:spacing w:after="0" w:line="60" w:lineRule="exact"/>
        <w:rPr>
          <w:rFonts w:ascii="Times New Roman" w:cs="Times New Roman" w:eastAsia="Times New Roman" w:hAnsi="Times New Roman"/>
          <w:sz w:val="18"/>
          <w:szCs w:val="18"/>
          <w:b w:val="1"/>
          <w:bCs w:val="1"/>
          <w:color w:val="auto"/>
        </w:rPr>
      </w:pPr>
    </w:p>
    <w:p>
      <w:pPr>
        <w:ind w:left="1240" w:right="620" w:hanging="415"/>
        <w:spacing w:after="0" w:line="286" w:lineRule="auto"/>
        <w:tabs>
          <w:tab w:leader="none" w:pos="12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early-stage research programs to expand our pipeline and capabilities through selectively acquiring highly differentiated technologies.</w:t>
      </w:r>
    </w:p>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98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3988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right="40" w:hanging="415"/>
        <w:spacing w:after="0" w:line="286" w:lineRule="auto"/>
        <w:tabs>
          <w:tab w:leader="none" w:pos="1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technologies to prepare for commercialization and selectively evaluating strategic partnerships to improve patient experience or enable greater patient access.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firstLine="426"/>
        <w:spacing w:after="0" w:line="276" w:lineRule="auto"/>
        <w:rPr>
          <w:sz w:val="20"/>
          <w:szCs w:val="20"/>
          <w:color w:val="auto"/>
        </w:rPr>
      </w:pPr>
      <w:r>
        <w:rPr>
          <w:rFonts w:ascii="Times New Roman" w:cs="Times New Roman" w:eastAsia="Times New Roman" w:hAnsi="Times New Roman"/>
          <w:sz w:val="17"/>
          <w:szCs w:val="17"/>
          <w:color w:val="auto"/>
        </w:rPr>
        <w:t>We were incorporated in Delaware in June 2018 under the name BAIT Therapeutics, Inc., and changed our name to Kyverna Therapeutics, Inc. in October 2019. Our principal executive offices are located at 5980 Horton St., STE 550, Emeryville, CA 94608, and our telephone number is</w:t>
      </w:r>
    </w:p>
    <w:p>
      <w:pPr>
        <w:spacing w:after="0" w:line="1" w:lineRule="exact"/>
        <w:rPr>
          <w:sz w:val="20"/>
          <w:szCs w:val="20"/>
          <w:color w:val="auto"/>
        </w:rPr>
      </w:pPr>
    </w:p>
    <w:p>
      <w:pPr>
        <w:jc w:val="both"/>
        <w:ind w:left="300" w:right="220" w:hanging="2"/>
        <w:spacing w:after="0" w:line="255"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925-2492. Our website address is </w:t>
      </w:r>
      <w:r>
        <w:rPr>
          <w:rFonts w:ascii="Times New Roman" w:cs="Times New Roman" w:eastAsia="Times New Roman" w:hAnsi="Times New Roman"/>
          <w:sz w:val="18"/>
          <w:szCs w:val="18"/>
          <w:i w:val="1"/>
          <w:iCs w:val="1"/>
          <w:color w:val="auto"/>
        </w:rPr>
        <w:t>https://kyvernatx.com/.</w:t>
      </w:r>
      <w:r>
        <w:rPr>
          <w:rFonts w:ascii="Times New Roman" w:cs="Times New Roman" w:eastAsia="Times New Roman" w:hAnsi="Times New Roman"/>
          <w:sz w:val="18"/>
          <w:szCs w:val="18"/>
          <w:color w:val="auto"/>
        </w:rPr>
        <w:t xml:space="preserve"> We do not incorporate the information on, or accessible through, our website into this prospectus, and you should not consider any information on, or accessible through, our website as part of this prospectus. We have included our website address in this prospectus solely as an inactive textual reference.</w:t>
      </w: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significant risks, including risks that may prevent us from achieving our business objectives or may adversely affect our business, results of operations and financial condition that you should consider before making a decision to invest in our common stock. These risks are discussed more fully under “Risk Factors.” You should carefully consider all the information in this prospectus, including under “Risk Factors,” before making an investment decision. These risks include, but are not limited to, the following:</w:t>
      </w:r>
    </w:p>
    <w:p>
      <w:pPr>
        <w:spacing w:after="0" w:line="85" w:lineRule="exact"/>
        <w:rPr>
          <w:sz w:val="20"/>
          <w:szCs w:val="20"/>
          <w:color w:val="auto"/>
        </w:rPr>
      </w:pPr>
    </w:p>
    <w:p>
      <w:pPr>
        <w:ind w:left="1240" w:right="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1" w:lineRule="exact"/>
        <w:rPr>
          <w:rFonts w:ascii="Times New Roman" w:cs="Times New Roman" w:eastAsia="Times New Roman" w:hAnsi="Times New Roman"/>
          <w:sz w:val="18"/>
          <w:szCs w:val="18"/>
          <w:color w:val="auto"/>
        </w:rPr>
      </w:pPr>
    </w:p>
    <w:p>
      <w:pPr>
        <w:jc w:val="both"/>
        <w:ind w:left="1240" w:right="2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our independent registered public accounting firm have concluded that there is substantial doubt as to our ability to continue as a going concern. If we cannot continue as a going concern, our stockholders may lose some or all of their investment in our company.</w:t>
      </w:r>
    </w:p>
    <w:p>
      <w:pPr>
        <w:spacing w:after="0" w:line="81" w:lineRule="exact"/>
        <w:rPr>
          <w:rFonts w:ascii="Times New Roman" w:cs="Times New Roman" w:eastAsia="Times New Roman" w:hAnsi="Times New Roman"/>
          <w:sz w:val="18"/>
          <w:szCs w:val="18"/>
          <w:color w:val="auto"/>
        </w:rPr>
      </w:pPr>
    </w:p>
    <w:p>
      <w:pPr>
        <w:ind w:left="1240" w:right="12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85" w:lineRule="exact"/>
        <w:rPr>
          <w:rFonts w:ascii="Times New Roman" w:cs="Times New Roman" w:eastAsia="Times New Roman" w:hAnsi="Times New Roman"/>
          <w:sz w:val="18"/>
          <w:szCs w:val="18"/>
          <w:color w:val="auto"/>
        </w:rPr>
      </w:pPr>
    </w:p>
    <w:p>
      <w:pPr>
        <w:jc w:val="both"/>
        <w:ind w:left="1240" w:right="2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purposes of obtaining regulatory approval.</w:t>
      </w:r>
    </w:p>
    <w:p>
      <w:pPr>
        <w:spacing w:after="0" w:line="81"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fail to remediate these material weaknesses, or if we experience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85" w:lineRule="exact"/>
        <w:rPr>
          <w:rFonts w:ascii="Times New Roman" w:cs="Times New Roman" w:eastAsia="Times New Roman" w:hAnsi="Times New Roman"/>
          <w:sz w:val="18"/>
          <w:szCs w:val="18"/>
          <w:color w:val="auto"/>
        </w:rPr>
      </w:pPr>
    </w:p>
    <w:p>
      <w:pPr>
        <w:ind w:left="1240" w:hanging="415"/>
        <w:spacing w:after="0" w:line="289"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w:t>
      </w: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8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8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85"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clinical trials, our clinical development activities could be delayed or otherwise adversely affected, which could adversely affect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240" w:right="14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81"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clinical trials, our clinical development activities could be delayed or otherwise adversely affected, which could adversely affect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product candidates could be associated with side effects, adverse events or other properties or safety risks, which could cause us to suspend or discontinue clinical trials, abandon a product candidate, delay or preclude approval, prevent market acceptance, limit the commercial profile of an approved label or result in other significant negative consequences that could severely harm our business, results of operations and financial condition.</w:t>
      </w:r>
    </w:p>
    <w:p>
      <w:pPr>
        <w:spacing w:after="0" w:line="85"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85" w:lineRule="exact"/>
        <w:rPr>
          <w:rFonts w:ascii="Times New Roman" w:cs="Times New Roman" w:eastAsia="Times New Roman" w:hAnsi="Times New Roman"/>
          <w:sz w:val="18"/>
          <w:szCs w:val="18"/>
          <w:color w:val="auto"/>
        </w:rPr>
      </w:pPr>
    </w:p>
    <w:p>
      <w:pPr>
        <w:jc w:val="both"/>
        <w:ind w:left="1240" w:right="32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spacing w:after="0" w:line="81"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could adversely affect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85"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develop current and any future product candidates on acceptable terms.</w:t>
      </w:r>
    </w:p>
    <w:p>
      <w:pPr>
        <w:spacing w:after="0" w:line="67" w:lineRule="exact"/>
        <w:rPr>
          <w:rFonts w:ascii="Times New Roman" w:cs="Times New Roman" w:eastAsia="Times New Roman" w:hAnsi="Times New Roman"/>
          <w:sz w:val="18"/>
          <w:szCs w:val="18"/>
          <w:color w:val="auto"/>
        </w:rPr>
      </w:pPr>
    </w:p>
    <w:p>
      <w:pPr>
        <w:ind w:left="1240" w:right="64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81" w:lineRule="exact"/>
        <w:rPr>
          <w:rFonts w:ascii="Times New Roman" w:cs="Times New Roman" w:eastAsia="Times New Roman" w:hAnsi="Times New Roman"/>
          <w:sz w:val="18"/>
          <w:szCs w:val="18"/>
          <w:color w:val="auto"/>
        </w:rPr>
      </w:pPr>
    </w:p>
    <w:p>
      <w:pPr>
        <w:ind w:left="1240" w:right="26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28, 2023, the FDA issued a statement that it is investigating serious risk of T-cell malignancy following BCMA-directed or CD19-directed autologous chimeric antigen receptor (CAR) T cell immunotherapies, such as KYV-101, and in January 2024, the FDA notified the manufacturers of the six FDA-approved BCMA-directed and CD19-directed chimeric CAR genetically modified autologous T-cell therapies that their products’ safety information must be updated to include a boxed</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15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56" w:lineRule="auto"/>
        <w:rPr>
          <w:sz w:val="20"/>
          <w:szCs w:val="20"/>
          <w:color w:val="auto"/>
        </w:rPr>
      </w:pPr>
      <w:r>
        <w:rPr>
          <w:rFonts w:ascii="Times New Roman" w:cs="Times New Roman" w:eastAsia="Times New Roman" w:hAnsi="Times New Roman"/>
          <w:sz w:val="18"/>
          <w:szCs w:val="18"/>
          <w:color w:val="auto"/>
        </w:rPr>
        <w:t>warning that T-cell malignancies have occurred following treatment with BCMA-directed and CD19-directed genetically modified autologous T-cell immunotherapies.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warning on any of our product candidates that receive regulatory approval or impose additional post-approval requirements on any of our product candidates that receive regulatory approval.</w:t>
      </w:r>
    </w:p>
    <w:p>
      <w:pPr>
        <w:spacing w:after="0" w:line="93" w:lineRule="exact"/>
        <w:rPr>
          <w:sz w:val="20"/>
          <w:szCs w:val="20"/>
          <w:color w:val="auto"/>
        </w:rPr>
      </w:pPr>
    </w:p>
    <w:p>
      <w:pPr>
        <w:ind w:left="1240" w:right="10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not develop and you may not be able to resell your shares of common stock at or above the public offering price, if at all.</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common stock and will be able to control matters subject to stockholder approval.</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spacing w:after="0" w:line="38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 are not emerging growth companies, including relief from the auditor attestation requirements of Section 404 of the Sarbanes-Oxley Act of 2002, as amended, or the Sarbanes-Oxley Act,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 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w:t>
      </w:r>
    </w:p>
    <w:p>
      <w:pPr>
        <w:spacing w:after="0" w:line="5" w:lineRule="exact"/>
        <w:rPr>
          <w:sz w:val="20"/>
          <w:szCs w:val="20"/>
          <w:color w:val="auto"/>
        </w:rPr>
      </w:pPr>
    </w:p>
    <w:p>
      <w:pPr>
        <w:ind w:left="300" w:right="160" w:hanging="2"/>
        <w:spacing w:after="0" w:line="253" w:lineRule="auto"/>
        <w:tabs>
          <w:tab w:leader="none" w:pos="5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year following the fifth anniversary of the completion of this offering, (ii) the last day of the year in which we have total annual gross revenue of at least $1.235 billion, (iii) the last day of the year in which we are deemed to be a “large accelerated filer” as defined in Rule 12b-2 under the Securities Exchange Act of 1934, as amended, or the Exchange Act, which would occur if the market value of our common stock and non-voting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87"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financial information to those of other public companies more difficult. We may choose to early adopt any new or revised accounting standards whenever such early adoption is permitted for private companies.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704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2704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common stock held by non-affiliates is less than</w:t>
      </w:r>
    </w:p>
    <w:p>
      <w:pPr>
        <w:spacing w:after="0" w:line="27" w:lineRule="exact"/>
        <w:rPr>
          <w:sz w:val="20"/>
          <w:szCs w:val="20"/>
          <w:color w:val="auto"/>
        </w:rPr>
      </w:pPr>
    </w:p>
    <w:p>
      <w:pPr>
        <w:ind w:left="300"/>
        <w:spacing w:after="0" w:line="251" w:lineRule="auto"/>
        <w:rPr>
          <w:sz w:val="20"/>
          <w:szCs w:val="20"/>
          <w:color w:val="auto"/>
        </w:rPr>
      </w:pPr>
      <w:r>
        <w:rPr>
          <w:rFonts w:ascii="Times New Roman" w:cs="Times New Roman" w:eastAsia="Times New Roman" w:hAnsi="Times New Roman"/>
          <w:sz w:val="18"/>
          <w:szCs w:val="18"/>
          <w:color w:val="auto"/>
        </w:rPr>
        <w:t>$700.0 million and our annual revenue is less than $100.0 million during the most recently completed fiscal year.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229" w:lineRule="exact"/>
        <w:rPr>
          <w:sz w:val="20"/>
          <w:szCs w:val="20"/>
          <w:color w:val="auto"/>
        </w:rPr>
      </w:pPr>
    </w:p>
    <w:p>
      <w:pPr>
        <w:ind w:left="300" w:right="60" w:firstLine="426"/>
        <w:spacing w:after="0" w:line="233" w:lineRule="auto"/>
        <w:rPr>
          <w:sz w:val="20"/>
          <w:szCs w:val="20"/>
          <w:color w:val="auto"/>
        </w:rPr>
      </w:pPr>
      <w:r>
        <w:rPr>
          <w:rFonts w:ascii="Times New Roman" w:cs="Times New Roman" w:eastAsia="Times New Roman" w:hAnsi="Times New Roman"/>
          <w:sz w:val="18"/>
          <w:szCs w:val="18"/>
          <w:color w:val="auto"/>
        </w:rPr>
        <w:t xml:space="preserve">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3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6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14,500,000 shares</w:t>
            </w:r>
          </w:p>
        </w:tc>
      </w:tr>
      <w:tr>
        <w:trPr>
          <w:trHeight w:val="454"/>
        </w:trPr>
        <w:tc>
          <w:tcPr>
            <w:tcW w:w="1102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to be outstanding immediately after this 40,822,525 shares (or 42,997,525 shares if the underwriters exercise their option to</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offering</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purchase additional shares in full)</w:t>
            </w: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shares of common stock</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have granted the underwriters an option, exercisable for 30 days from the date of this</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offered in this offering</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prospectus, to purchase up to 2,175,000 additional shares from us.</w:t>
            </w: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estimate that the net proceeds to us from the sale of shares of our common stock in this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offering will be approximately $292.8 million (or approximately $337.3 million if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underwriters’ option to purchase additional shares is exercised in full) based upon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initial public offering price of $22.00 per share, after deducting underwriting discounts and</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r>
      <w:tr>
        <w:trPr>
          <w:trHeight w:val="441"/>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flexibility, create a public market for our common stock and thereby enable access to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public equity markets for us and our stockholders. We intend to use the net proceeds to us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from this offering to advance clinical development of KYV-101, our lead product</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candidate; to advance KYV-201 into clinical development; to fund expenses associated</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with our research and development and additional clinical development; and for general</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corporate purposes, working capital and capital expenditures. See “Use of Proceeds” on</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page 89 below for a more complete description of the intended use of proceeds from this</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offering.</w:t>
            </w:r>
          </w:p>
        </w:tc>
      </w:tr>
      <w:tr>
        <w:trPr>
          <w:trHeight w:val="89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Global Select Market trading symbol</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KYTX</w:t>
            </w: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You should read the section of this prospectus titled “Risk Factors” and the other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information included elsewhere in this prospectus for a discussion of some of the risks and</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uncertainties you should carefully consider before deciding to invest in our common stock.</w:t>
            </w:r>
          </w:p>
        </w:tc>
      </w:tr>
      <w:tr>
        <w:trPr>
          <w:trHeight w:val="45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Currently, we do not anticipate paying cash dividends.</w:t>
            </w: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Directed share program</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offered hereby, at the initial public offering price, to offer to directors, officers, employees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 business associates. The number of shares of common stock available for sale to the</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general public will be reduced to the extent these individuals purchase such</w:t>
            </w:r>
          </w:p>
        </w:tc>
      </w:tr>
      <w:tr>
        <w:trPr>
          <w:trHeight w:val="159"/>
        </w:trPr>
        <w:tc>
          <w:tcPr>
            <w:tcW w:w="4160" w:type="dxa"/>
            <w:vAlign w:val="bottom"/>
            <w:tcBorders>
              <w:left w:val="single" w:sz="8" w:color="auto"/>
              <w:bottom w:val="single" w:sz="8" w:color="auto"/>
            </w:tcBorders>
          </w:tcPr>
          <w:p>
            <w:pPr>
              <w:spacing w:after="0"/>
              <w:rPr>
                <w:sz w:val="13"/>
                <w:szCs w:val="13"/>
                <w:color w:val="auto"/>
              </w:rPr>
            </w:pPr>
          </w:p>
        </w:tc>
        <w:tc>
          <w:tcPr>
            <w:tcW w:w="6860" w:type="dxa"/>
            <w:vAlign w:val="bottom"/>
            <w:tcBorders>
              <w:bottom w:val="single" w:sz="8" w:color="auto"/>
              <w:right w:val="single" w:sz="8" w:color="auto"/>
            </w:tcBorders>
          </w:tcPr>
          <w:p>
            <w:pPr>
              <w:spacing w:after="0"/>
              <w:rPr>
                <w:sz w:val="13"/>
                <w:szCs w:val="13"/>
                <w:color w:val="auto"/>
              </w:rPr>
            </w:pPr>
          </w:p>
        </w:tc>
      </w:tr>
      <w:tr>
        <w:trPr>
          <w:trHeight w:val="361"/>
        </w:trPr>
        <w:tc>
          <w:tcPr>
            <w:tcW w:w="4160" w:type="dxa"/>
            <w:vAlign w:val="bottom"/>
          </w:tcPr>
          <w:p>
            <w:pPr>
              <w:spacing w:after="0"/>
              <w:rPr>
                <w:sz w:val="24"/>
                <w:szCs w:val="24"/>
                <w:color w:val="auto"/>
              </w:rPr>
            </w:pPr>
          </w:p>
        </w:tc>
        <w:tc>
          <w:tcPr>
            <w:tcW w:w="68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64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00"/>
        <w:spacing w:after="0" w:line="258" w:lineRule="auto"/>
        <w:rPr>
          <w:sz w:val="20"/>
          <w:szCs w:val="20"/>
          <w:color w:val="auto"/>
        </w:rPr>
      </w:pPr>
      <w:r>
        <w:rPr>
          <w:rFonts w:ascii="Times New Roman" w:cs="Times New Roman" w:eastAsia="Times New Roman" w:hAnsi="Times New Roman"/>
          <w:sz w:val="18"/>
          <w:szCs w:val="18"/>
          <w:color w:val="auto"/>
        </w:rPr>
        <w:t>reserved shares. Any reserved shares that are not so purchased will be offered by the underwriters to the general public on the same basis as the other shares offered by this prospectus. Except for any shares acquired by our directors and officers, shares purchased pursuant to the directed share program will not be subject to lock-up agreements with the underwriters. See “Underwriting” beginning on page 223.</w:t>
      </w:r>
    </w:p>
    <w:p>
      <w:pPr>
        <w:sectPr>
          <w:pgSz w:w="11900" w:h="16838" w:orient="portrait"/>
          <w:cols w:equalWidth="0" w:num="1">
            <w:col w:w="10900"/>
          </w:cols>
          <w:pgMar w:left="320" w:top="455" w:right="679" w:bottom="1440" w:gutter="0" w:footer="0" w:header="0"/>
        </w:sect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Concentration of ownership</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our executive officers and directors, and their affiliates, will beneficially own, in the aggregate, approximately 25.1% of our outstanding shares of common stock.</w:t>
      </w:r>
    </w:p>
    <w:p>
      <w:pPr>
        <w:spacing w:after="0" w:line="176"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26,322,525 shares of our common stock outstanding as of September 30, 2023 (which includes 381,822 shares underlying unvested restricted stock awards subject to a repurchase option by us), after giving effect to the automatic conversion of all outstanding shares of our convertible preferred stock into an aggregate of 25,171,265 shares of our common stock immediately prior to the closing of this offering, and excludes:</w:t>
      </w:r>
    </w:p>
    <w:p>
      <w:pPr>
        <w:spacing w:after="0" w:line="85" w:lineRule="exact"/>
        <w:rPr>
          <w:sz w:val="20"/>
          <w:szCs w:val="20"/>
          <w:color w:val="auto"/>
        </w:rPr>
      </w:pPr>
    </w:p>
    <w:p>
      <w:pPr>
        <w:ind w:left="1240" w:right="260" w:hanging="415"/>
        <w:spacing w:after="0" w:line="312"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2,338,555 shares of our common stock issuable upon the exercise of stock options outstanding as of September 30, 2023 under our Amended and Restated 2019 Stock Plan, as amended, or the 2019 Plan, at a weighted average exercise price of $3.56 per share;</w:t>
      </w:r>
    </w:p>
    <w:p>
      <w:pPr>
        <w:spacing w:after="0" w:line="45" w:lineRule="exact"/>
        <w:rPr>
          <w:rFonts w:ascii="Times New Roman" w:cs="Times New Roman" w:eastAsia="Times New Roman" w:hAnsi="Times New Roman"/>
          <w:sz w:val="17"/>
          <w:szCs w:val="17"/>
          <w:color w:val="auto"/>
        </w:rPr>
      </w:pPr>
    </w:p>
    <w:p>
      <w:pPr>
        <w:ind w:left="1240" w:right="1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1,762,161 shares of our common stock issuable upon the exercise of stock options outstanding and granted between October 1, 2023 and December 29, 2023 under the 2019 Plan, at a weighted average exercise price of $4.94 per share;</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670,633 shares of our common stock reserved for future issuance under the 2019 Plan as of September 30, 2023, which shares ceased to be available for issuance at the time our 2024 Equity Incentive Plan, or the 2024 Plan, became effective;</w:t>
      </w:r>
    </w:p>
    <w:p>
      <w:pPr>
        <w:spacing w:after="0" w:line="67" w:lineRule="exact"/>
        <w:rPr>
          <w:rFonts w:ascii="Times New Roman" w:cs="Times New Roman" w:eastAsia="Times New Roman" w:hAnsi="Times New Roman"/>
          <w:sz w:val="18"/>
          <w:szCs w:val="18"/>
          <w:color w:val="auto"/>
        </w:rPr>
      </w:pPr>
    </w:p>
    <w:p>
      <w:pPr>
        <w:ind w:left="1240" w:right="80" w:hanging="415"/>
        <w:spacing w:after="0" w:line="254"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4,215,000 shares of our common stock reserved for future issuance under our 2024 Plan (which includes the grant of stock options to purchase 239,914 shares of our common stock that were granted contingent and effective upon the date on which the registration statement of which this prospectus forms a part was declared effective by the SEC, with an exercise price per share equal to $22.00, the initial public offering price in this offering), which became effective on the date immediately preceding the date upon which the registration statement of which this prospectus forms a part was declared effective by the U.S. Securities and Exchange Commission, or the SEC, as well as any automatic increases in the number of shares of our common stock reserved for future issuance under the 2024 Plan and any shares underlying outstanding stock awards granted under the 2019 Plan that expire or are repurchased, forfeited, cancelled or withheld, as more fully described in the section of this prospectus titled “Executive Compensation — Equity Benefit Plans”; and</w:t>
      </w:r>
    </w:p>
    <w:p>
      <w:pPr>
        <w:spacing w:after="0" w:line="93" w:lineRule="exact"/>
        <w:rPr>
          <w:rFonts w:ascii="Times New Roman" w:cs="Times New Roman" w:eastAsia="Times New Roman" w:hAnsi="Times New Roman"/>
          <w:sz w:val="18"/>
          <w:szCs w:val="18"/>
          <w:color w:val="auto"/>
        </w:rPr>
      </w:pPr>
    </w:p>
    <w:p>
      <w:pPr>
        <w:ind w:left="1240" w:right="80" w:hanging="415"/>
        <w:spacing w:after="0" w:line="258"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422,000 shares of our common stock reserved for future issuance under our 2024 Employee Stock Purchase Plan, or the ESPP, which became effective on the date immediately preceding the date upon which the registration statement of which this prospectus forms a part was declared effective by the SEC, as well as any automatic increases in the number of shares of our common stock reserved for future issuance under the ESPP, as more fully described in the section of this prospectus titled “Executive Compensation — Equity Benefit Plans”.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this prospectus assumes or gives effect to the following:</w:t>
      </w:r>
    </w:p>
    <w:p>
      <w:pPr>
        <w:spacing w:after="0" w:line="131" w:lineRule="exact"/>
        <w:rPr>
          <w:sz w:val="20"/>
          <w:szCs w:val="20"/>
          <w:color w:val="auto"/>
        </w:rPr>
      </w:pPr>
    </w:p>
    <w:p>
      <w:pPr>
        <w:ind w:left="124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or our Certificate of Incorporation, to be effective immediately prior to the closing of this offering, and the adoption of our amended and restated bylaws, or our Bylaws, to be effective immediately prior to the closing of this offering;</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641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1641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outstanding shares of our convertible preferred stock into an aggregate of 25,171,265 shares of our common stock immediately prior to the closing of this offering;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described above after September 30, 2023;</w:t>
      </w:r>
    </w:p>
    <w:p>
      <w:pPr>
        <w:spacing w:after="0" w:line="130" w:lineRule="exact"/>
        <w:rPr>
          <w:rFonts w:ascii="Times New Roman" w:cs="Times New Roman" w:eastAsia="Times New Roman" w:hAnsi="Times New Roman"/>
          <w:sz w:val="18"/>
          <w:szCs w:val="18"/>
          <w:color w:val="auto"/>
        </w:rPr>
      </w:pPr>
    </w:p>
    <w:p>
      <w:pPr>
        <w:jc w:val="both"/>
        <w:ind w:left="124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1-for-4.5511 reverse stock split of our common stock effected on January 30, 2024 and the resulting adjustments to the respective conversion ratios for our Series A-1 redeemable convertible preferred stock, Series A-2 redeemable convertible preferred stock and Series B redeemable convertible preferred stock, or the Reverse Stock Split;</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purchases by existing shareholders or their affiliates pursuant to the directed share program;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by the underwriters of their option to purchase up to 2,175,000 additional shares of our common stock.</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80"/>
          </w:cols>
          <w:pgMar w:left="320" w:top="455" w:right="8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64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300" w:right="44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tables set forth our summary statements of operations data for the periods indicated. We have derived the statements of operations for the years ended December 31, 2021 and 2022 from our audited financial statements appearing elsewhere in this prospectus. The statements of operations data for the nine months ended September 30, 2022 and 2023 and the balance sheet data as of September 30, 2023 have been derived from our unaudited condensed financial statements appearing elsewhere in this prospectus, which have been prepared on the same basis as the audited financial statements. In the opinion of management, the unaudited data reflect all adjustments, consisting only of normal recurring adjustments, necessary for a fair statement of the financial information in those statements.</w:t>
      </w:r>
    </w:p>
    <w:p>
      <w:pPr>
        <w:spacing w:after="0" w:line="187" w:lineRule="exact"/>
        <w:rPr>
          <w:sz w:val="20"/>
          <w:szCs w:val="20"/>
          <w:color w:val="auto"/>
        </w:rPr>
      </w:pPr>
    </w:p>
    <w:p>
      <w:pPr>
        <w:ind w:left="300" w:right="260" w:firstLine="426"/>
        <w:spacing w:after="0" w:line="256" w:lineRule="auto"/>
        <w:rPr>
          <w:sz w:val="20"/>
          <w:szCs w:val="20"/>
          <w:color w:val="auto"/>
        </w:rPr>
      </w:pPr>
      <w:r>
        <w:rPr>
          <w:rFonts w:ascii="Times New Roman" w:cs="Times New Roman" w:eastAsia="Times New Roman" w:hAnsi="Times New Roman"/>
          <w:sz w:val="18"/>
          <w:szCs w:val="18"/>
          <w:color w:val="auto"/>
        </w:rPr>
        <w:t>The historical results presented below are not necessarily indicative of the results to be expected for any future period and our interim results are not necessarily indicative of the results that may be expected for a full year. The following summaries of our financial data for the periods presented should be read in conjunction with the sections of this prospectus titled “Risk Factors,” “Capitalization,” “Management’s Discussion and Analysis of Financial Condition and Results of Operations” and our financial statements and the related notes included elsewhere in this prospectus. The summary financial data included in this section are not intended to replace the financial statements and are qualified in their entirety by our financial statements and the related notes included elsewhere in this prospectus</w:t>
      </w:r>
      <w:r>
        <w:rPr>
          <w:rFonts w:ascii="Times New Roman" w:cs="Times New Roman" w:eastAsia="Times New Roman" w:hAnsi="Times New Roman"/>
          <w:sz w:val="18"/>
          <w:szCs w:val="18"/>
          <w:i w:val="1"/>
          <w:iCs w:val="1"/>
          <w:color w:val="auto"/>
        </w:rPr>
        <w:t>.</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264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264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4"/>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25,852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28,402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21,335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32,760</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32,002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36,409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27,352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(26,346)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(29,384)</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(20,609)</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(26,350)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(28,893)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(20,397)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(39,699)</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780" w:type="dxa"/>
            <w:vAlign w:val="bottom"/>
          </w:tcPr>
          <w:p>
            <w:pPr>
              <w:ind w:left="200"/>
              <w:spacing w:after="0" w:line="235"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(99.10)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tcPr>
          <w:p>
            <w:pPr>
              <w:spacing w:after="0"/>
              <w:rPr>
                <w:sz w:val="16"/>
                <w:szCs w:val="16"/>
                <w:color w:val="auto"/>
              </w:rPr>
            </w:pPr>
          </w:p>
        </w:tc>
        <w:tc>
          <w:tcPr>
            <w:tcW w:w="47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780" w:type="dxa"/>
            <w:vAlign w:val="bottom"/>
            <w:shd w:val="clear" w:color="auto" w:fill="CCEEFF"/>
          </w:tcPr>
          <w:p>
            <w:pPr>
              <w:ind w:left="200"/>
              <w:spacing w:after="0" w:line="235"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(1)</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265,885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455,478</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430,029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632,624</w:t>
            </w:r>
          </w:p>
        </w:tc>
        <w:tc>
          <w:tcPr>
            <w:tcW w:w="6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780" w:type="dxa"/>
            <w:vAlign w:val="bottom"/>
          </w:tcPr>
          <w:p>
            <w:pPr>
              <w:ind w:left="200"/>
              <w:spacing w:after="0" w:line="235" w:lineRule="exact"/>
              <w:rPr>
                <w:sz w:val="20"/>
                <w:szCs w:val="20"/>
                <w:color w:val="auto"/>
              </w:rPr>
            </w:pPr>
            <w:r>
              <w:rPr>
                <w:rFonts w:ascii="Times New Roman" w:cs="Times New Roman" w:eastAsia="Times New Roman" w:hAnsi="Times New Roman"/>
                <w:sz w:val="18"/>
                <w:szCs w:val="18"/>
                <w:color w:val="auto"/>
              </w:rPr>
              <w:t>basic and diluted (unaudited)</w:t>
            </w:r>
            <w:r>
              <w:rPr>
                <w:rFonts w:ascii="Times New Roman" w:cs="Times New Roman" w:eastAsia="Times New Roman" w:hAnsi="Times New Roman"/>
                <w:sz w:val="26"/>
                <w:szCs w:val="26"/>
                <w:color w:val="auto"/>
                <w:vertAlign w:val="superscript"/>
              </w:rPr>
              <w:t>(2)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tcPr>
          <w:p>
            <w:pPr>
              <w:spacing w:after="0"/>
              <w:rPr>
                <w:sz w:val="16"/>
                <w:szCs w:val="16"/>
                <w:color w:val="auto"/>
              </w:rPr>
            </w:pPr>
          </w:p>
        </w:tc>
        <w:tc>
          <w:tcPr>
            <w:tcW w:w="47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Pro forma weighted-average common shares outstanding, basic</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780" w:type="dxa"/>
            <w:vAlign w:val="bottom"/>
            <w:shd w:val="clear" w:color="auto" w:fill="CCEEFF"/>
          </w:tcPr>
          <w:p>
            <w:pPr>
              <w:ind w:left="200"/>
              <w:spacing w:after="0" w:line="235" w:lineRule="exact"/>
              <w:rPr>
                <w:sz w:val="20"/>
                <w:szCs w:val="20"/>
                <w:color w:val="auto"/>
              </w:rPr>
            </w:pPr>
            <w:r>
              <w:rPr>
                <w:rFonts w:ascii="Times New Roman" w:cs="Times New Roman" w:eastAsia="Times New Roman" w:hAnsi="Times New Roman"/>
                <w:sz w:val="18"/>
                <w:szCs w:val="18"/>
                <w:color w:val="auto"/>
              </w:rPr>
              <w:t>and diluted (unaudited)</w:t>
            </w:r>
            <w:r>
              <w:rPr>
                <w:rFonts w:ascii="Times New Roman" w:cs="Times New Roman" w:eastAsia="Times New Roman" w:hAnsi="Times New Roman"/>
                <w:sz w:val="26"/>
                <w:szCs w:val="26"/>
                <w:color w:val="auto"/>
                <w:vertAlign w:val="superscript"/>
              </w:rPr>
              <w:t>(2)</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25,626,743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25,803,889</w:t>
            </w:r>
          </w:p>
        </w:tc>
        <w:tc>
          <w:tcPr>
            <w:tcW w:w="6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0" w:type="dxa"/>
            <w:vAlign w:val="bottom"/>
            <w:tcBorders>
              <w:bottom w:val="single" w:sz="8" w:color="auto"/>
            </w:tcBorders>
          </w:tcPr>
          <w:p>
            <w:pPr>
              <w:spacing w:after="0"/>
              <w:rPr>
                <w:sz w:val="13"/>
                <w:szCs w:val="13"/>
                <w:color w:val="auto"/>
              </w:rPr>
            </w:pPr>
          </w:p>
        </w:tc>
        <w:tc>
          <w:tcPr>
            <w:tcW w:w="4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0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660" w:hanging="422"/>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to our audited financial statements and Note 12 to our unaudited condensed financial statements included elsewhere in this prospectus for details on the calculation of basic and diluted net loss per unit attributable to common stockholders.</w:t>
      </w:r>
    </w:p>
    <w:p>
      <w:pPr>
        <w:ind w:left="720" w:right="840" w:hanging="422"/>
        <w:spacing w:after="0" w:line="26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“Unaudited Pro Forma Net Loss Per Share Attributable to Common Stockholders” subsection below for details on our unaudited pro forma calculations.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Unaudited Pro Forma Net Loss Per Share Attributable to Common Stockholders</w:t>
      </w:r>
    </w:p>
    <w:p>
      <w:pPr>
        <w:spacing w:after="0" w:line="121" w:lineRule="exact"/>
        <w:rPr>
          <w:sz w:val="20"/>
          <w:szCs w:val="20"/>
          <w:color w:val="auto"/>
        </w:rPr>
      </w:pPr>
    </w:p>
    <w:p>
      <w:pPr>
        <w:ind w:left="300" w:right="320" w:firstLine="426"/>
        <w:spacing w:after="0" w:line="256" w:lineRule="auto"/>
        <w:rPr>
          <w:sz w:val="20"/>
          <w:szCs w:val="20"/>
          <w:color w:val="auto"/>
        </w:rPr>
      </w:pPr>
      <w:r>
        <w:rPr>
          <w:rFonts w:ascii="Times New Roman" w:cs="Times New Roman" w:eastAsia="Times New Roman" w:hAnsi="Times New Roman"/>
          <w:sz w:val="18"/>
          <w:szCs w:val="18"/>
          <w:color w:val="auto"/>
        </w:rPr>
        <w:t>Immediately prior to the completion of this offering, all outstanding shares of our convertible preferred stock will automatically convert into shares of our common stock. The unaudited pro forma basic and diluted net loss per share for the year ended December 31, 2022 and for the nine months ended September 30, 2023 were computed using the weighted-average number of shares of our common stock outstanding, including the pro forma effect of the automatic conversion of all outstanding shares of our convertible preferred stock into an aggregate of 25,171,265 shares of our common stock, as if such conversion had occurred at the beginning of the period. Pro forma net loss per share does not include the shares expected to be sold in this offering.</w:t>
      </w:r>
    </w:p>
    <w:p>
      <w:pPr>
        <w:spacing w:after="0" w:line="187" w:lineRule="exact"/>
        <w:rPr>
          <w:sz w:val="20"/>
          <w:szCs w:val="20"/>
          <w:color w:val="auto"/>
        </w:rPr>
      </w:pPr>
    </w:p>
    <w:p>
      <w:pPr>
        <w:ind w:left="300" w:right="74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unaudited pro forma basic and diluted net loss per share of common stock for the periods presented: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6"/>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5"/>
                <w:szCs w:val="15"/>
                <w:color w:val="auto"/>
              </w:rPr>
            </w:pPr>
          </w:p>
        </w:tc>
        <w:tc>
          <w:tcPr>
            <w:tcW w:w="15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88"/>
              </w:rPr>
              <w:t>thousands, except</w:t>
            </w:r>
          </w:p>
        </w:tc>
        <w:tc>
          <w:tcPr>
            <w:tcW w:w="1200" w:type="dxa"/>
            <w:vAlign w:val="bottom"/>
            <w:tcBorders>
              <w:top w:val="single" w:sz="8" w:color="auto"/>
            </w:tcBorders>
            <w:gridSpan w:val="4"/>
          </w:tcPr>
          <w:p>
            <w:pPr>
              <w:jc w:val="center"/>
              <w:ind w:right="780"/>
              <w:spacing w:after="0" w:line="131" w:lineRule="exact"/>
              <w:rPr>
                <w:sz w:val="20"/>
                <w:szCs w:val="20"/>
                <w:color w:val="auto"/>
              </w:rPr>
            </w:pPr>
            <w:r>
              <w:rPr>
                <w:rFonts w:ascii="Times New Roman" w:cs="Times New Roman" w:eastAsia="Times New Roman" w:hAnsi="Times New Roman"/>
                <w:sz w:val="14"/>
                <w:szCs w:val="14"/>
                <w:b w:val="1"/>
                <w:bCs w:val="1"/>
                <w:color w:val="auto"/>
              </w:rPr>
              <w:t>share</w:t>
            </w:r>
          </w:p>
        </w:tc>
        <w:tc>
          <w:tcPr>
            <w:tcW w:w="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 used in calculating pro forma net loss per share, basic and diluted</w:t>
            </w:r>
          </w:p>
        </w:tc>
        <w:tc>
          <w:tcPr>
            <w:tcW w:w="10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3"/>
          </w:tcPr>
          <w:p>
            <w:pPr>
              <w:jc w:val="right"/>
              <w:ind w:right="439"/>
              <w:spacing w:after="0"/>
              <w:rPr>
                <w:sz w:val="20"/>
                <w:szCs w:val="20"/>
                <w:color w:val="auto"/>
              </w:rPr>
            </w:pPr>
            <w:r>
              <w:rPr>
                <w:rFonts w:ascii="Times New Roman" w:cs="Times New Roman" w:eastAsia="Times New Roman" w:hAnsi="Times New Roman"/>
                <w:sz w:val="18"/>
                <w:szCs w:val="18"/>
                <w:color w:val="auto"/>
              </w:rPr>
              <w:t>(28,893)</w:t>
            </w:r>
          </w:p>
        </w:tc>
        <w:tc>
          <w:tcPr>
            <w:tcW w:w="220" w:type="dxa"/>
            <w:vAlign w:val="bottom"/>
          </w:tcPr>
          <w:p>
            <w:pPr>
              <w:spacing w:after="0"/>
              <w:rPr>
                <w:sz w:val="18"/>
                <w:szCs w:val="18"/>
                <w:color w:val="auto"/>
              </w:rPr>
            </w:pP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(39,699)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455,478</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632,624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65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 forma adjustment to reflect the automatic conversion of convertible preferred</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2420" w:type="dxa"/>
            <w:vAlign w:val="bottom"/>
            <w:gridSpan w:val="7"/>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25,171,265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25,171,265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forma weighted-average shares outstanding, basic and diluted</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25,626,743</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25,803,889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68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20" w:type="dxa"/>
            <w:vAlign w:val="bottom"/>
          </w:tcPr>
          <w:p>
            <w:pPr>
              <w:spacing w:after="0"/>
              <w:rPr>
                <w:sz w:val="10"/>
                <w:szCs w:val="10"/>
                <w:color w:val="auto"/>
              </w:rPr>
            </w:pPr>
          </w:p>
        </w:tc>
        <w:tc>
          <w:tcPr>
            <w:tcW w:w="1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4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22,967</w:t>
            </w: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22,967</w:t>
            </w:r>
          </w:p>
        </w:tc>
        <w:tc>
          <w:tcPr>
            <w:tcW w:w="2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315,963(4)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54,307</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5"/>
                <w:szCs w:val="25"/>
                <w:color w:val="auto"/>
                <w:vertAlign w:val="superscript"/>
              </w:rPr>
              <w:t>(3)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62,536</w:t>
            </w: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62,536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92,486</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384,597(5)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00"/>
              <w:spacing w:after="0" w:line="216" w:lineRule="exact"/>
              <w:rPr>
                <w:sz w:val="20"/>
                <w:szCs w:val="20"/>
                <w:color w:val="auto"/>
              </w:rPr>
            </w:pPr>
            <w:r>
              <w:rPr>
                <w:rFonts w:ascii="Times New Roman" w:cs="Times New Roman" w:eastAsia="Times New Roman" w:hAnsi="Times New Roman"/>
                <w:sz w:val="17"/>
                <w:szCs w:val="17"/>
                <w:color w:val="auto"/>
              </w:rPr>
              <w:t>22,989</w:t>
            </w:r>
            <w:r>
              <w:rPr>
                <w:rFonts w:ascii="Times New Roman" w:cs="Times New Roman" w:eastAsia="Times New Roman" w:hAnsi="Times New Roman"/>
                <w:sz w:val="25"/>
                <w:szCs w:val="25"/>
                <w:color w:val="auto"/>
                <w:vertAlign w:val="superscript"/>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(115,376)</w:t>
            </w:r>
          </w:p>
        </w:tc>
        <w:tc>
          <w:tcPr>
            <w:tcW w:w="14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(115,376)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(111,806)</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6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67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735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173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422"/>
        <w:spacing w:after="0" w:line="257"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column reflects (i) the automatic conversion of all outstanding shares of our convertible preferred stock into an aggregate of 25,171,265 shares of our common stock immediately prior to the closing of this offering and (ii) the filing and effectiveness of our Certificate of Incorporation, which will be effective immediately prior to the closing of this offering.</w:t>
      </w:r>
    </w:p>
    <w:p>
      <w:pPr>
        <w:spacing w:after="0" w:line="1" w:lineRule="exact"/>
        <w:rPr>
          <w:rFonts w:ascii="Times New Roman" w:cs="Times New Roman" w:eastAsia="Times New Roman" w:hAnsi="Times New Roman"/>
          <w:sz w:val="18"/>
          <w:szCs w:val="18"/>
          <w:color w:val="auto"/>
        </w:rPr>
      </w:pPr>
    </w:p>
    <w:p>
      <w:pPr>
        <w:ind w:left="720" w:right="320" w:hanging="422"/>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column reflects the sale of 14,500,000 shares of our common stock in this offering at the initial public offering price of $22.00, after deducting underwriting discounts and commissions and estimated offering expenses payable by us.</w:t>
      </w:r>
    </w:p>
    <w:p>
      <w:pPr>
        <w:ind w:left="720" w:hanging="422"/>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cash and cash equivalents also reflects $0.2 million of offering expenses paid as of September 30, 2023.</w:t>
      </w:r>
    </w:p>
    <w:p>
      <w:pPr>
        <w:spacing w:after="0" w:line="9" w:lineRule="exact"/>
        <w:rPr>
          <w:rFonts w:ascii="Times New Roman" w:cs="Times New Roman" w:eastAsia="Times New Roman" w:hAnsi="Times New Roman"/>
          <w:sz w:val="18"/>
          <w:szCs w:val="18"/>
          <w:color w:val="auto"/>
        </w:rPr>
      </w:pPr>
    </w:p>
    <w:p>
      <w:pPr>
        <w:ind w:left="720" w:right="20" w:hanging="422"/>
        <w:spacing w:after="0" w:line="255"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total assets also reflects $0.2 million of offering expenses paid and $0.9 million of offering expenses recognized as other non-current assets, each as of September 30, 2023. The pro forma as adjusted total liabilities also reflects $0.7 million of other current liabilities based on such offering expenses, as of September 30, 2023.</w:t>
      </w: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In deciding whether to invest, you should carefully consider and read the following risk factors, as well as the financial and other information contained in this prospectus, including in the section of this prospectus titled “Management’s Discussion and Analysis of Financial Condition and Results of Operations” and in our financial statements and related notes included elsewhere in this prospectus. Any of the following risks could have a material adverse effect on our business, financial condition, results of operations or prospects and cause the value of our stock to decline, which could cause you to lose all or part of your investment. The risks described below are not the only ones facing us. Additional risks and uncertainties of which we are unaware, or that we currently deem immaterial, also may become important factors that affect 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Limited Operating History and Financial Position</w:t>
      </w:r>
    </w:p>
    <w:p>
      <w:pPr>
        <w:spacing w:after="0" w:line="117" w:lineRule="exact"/>
        <w:rPr>
          <w:sz w:val="20"/>
          <w:szCs w:val="20"/>
          <w:color w:val="auto"/>
        </w:rPr>
      </w:pPr>
    </w:p>
    <w:p>
      <w:pPr>
        <w:ind w:left="120"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w:t>
      </w:r>
    </w:p>
    <w:p>
      <w:pPr>
        <w:spacing w:after="0" w:line="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a clinical stage biotechnology company with a limited operating history. We were formed in 2018 and we have devoted substantially all of our efforts and financial resources to organizing and staffing our company, business planning, raising capital, discovering product candidates and securing related intellectual property rights, and conducting research and development activities for our product candidates, including KYV-101 and KYV-201. Consequently, we have no meaningful operations upon which to evaluate our business and predictions about our future success, and viability may not be as accurate as they could be if we had a longer operating history or a history of successfully developing and commercializing program candidates. Investment in biotechnology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not yet demonstrated the ability to progress any product candidate through clinical trials, we have no products approved for commercial sale and we have not generated any revenue from product sales to date. We continue to incur significant research and development and other expenses related to our ongoing operations. As a result, we are not profitable and we have incurred net losses since our inception through September 30, 2023. For the years ended December 31, 2021 and 2022, we reported a net loss of $26.4 million and $28.9 million, respectively, and for the nine months ended September 30, 2022 and 2023, we reported a net loss of $20.4 million and $39.7 million, respectively. As of September 30, 2023, we had an accumulated deficit of $115.4 million. We expect to continue to incur significant losses for the foreseeable future, and we expect these losses to increase as we continue our research and development of our product candidates, and seek regulatory approvals for our product candidates.</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further clinical trials for KYV-101 and KYV-201 and our other product candidates;</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other acquisitions, and conduct development activities, including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or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product candidates or any future product candidates, if approved;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and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maintain, enforce and defend our rights in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third-party interference, infringement and other intellectual property claims,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market developments;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in our preclinical studies or clinical trials and regulatory approval for our product candidates, including as a result of macroeconomic conditions, geopolitical conflicts or other factors;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 following the completion of this offering.</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and any current or potential future collaborators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the price or of common stock, and could impair our ability to raise capital, maintain our research and development efforts, expand our business or continue our operations. A decline in the value of our company also could cause you to lose all or part of your investment.</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(deficit) equity and working capital.</w:t>
      </w:r>
    </w:p>
    <w:p>
      <w:pPr>
        <w:spacing w:after="0" w:line="287" w:lineRule="exact"/>
        <w:rPr>
          <w:sz w:val="20"/>
          <w:szCs w:val="20"/>
          <w:color w:val="auto"/>
        </w:rPr>
      </w:pPr>
    </w:p>
    <w:p>
      <w:pPr>
        <w:ind w:left="1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our inception. We expect to continue to spend substantial amounts to continue the preclinical and clinical development of, and seek regulatory approval for, KYV-101, KYV-201 and any future product candidates.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the design and outcome of our planned and anticipated preclinical studies and clinical trials are highly uncertain, we cannot reasonably estimate the actual amounts necessary to successfully complete the development and commercialization of any product candidates we develop. If we are required by the U.S. Food and Drug Administration, or the FDA, or any comparable foreign regulatory authority to perform clinical trials or preclinical studies in addition to those that we currently anticipate, our expenses could increase. In addition, if we obtain regulatory approval to market any of our product candidates, we expect to incur significant commercialization expenses related to product sales, marketing, manufacturing and distribution. Other unanticipated costs may also arise.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Following this offering, we also expect to incur additional costs associated with operating as a public company. Accordingly, we will need to obtain substantial additional funding in order to maintain our continuing operations.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sales of our product candidates, if ever, 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91"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or for which regulatory approval to market has been sought. We have invested a significant portion of our efforts and financial resources in the development of our product candidates, each of which is still in clinical development, and expect that we will continue to invest heavily in these product candidates, as well as in any future product candidates we may develop. Our business and our ability to generate revenue, which we do not expect will occur for many years, if ever, are substantially dependent on our ability to develop, obtain regulatory approval for, and then successfully commercialize our product candidates, which may never occur.</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product candidates will require substantial additional preclinical and clinical development time, regulatory approval, commercial manufacturing arrangements, establishment of a commercial organization, significant marketing efforts and further investment before we can generate any revenue from product sales. We currently generate no revenue and we may never be able to develop or commercialize any products.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Even if our product candidates are successful in clinical trials, we will not be permitted to market or promote any of our product candidates until we receive regulatory approval from the FDA or comparable foreign regulatory authorities, and we may never receive sufficient regulatory approval that will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cannot be certain that our current or any future product candidates will be successful in clinical trials or receive regulatory approval. The FDA may also consider its approvals of competing products, which may alter the treatment landscape concurrently with their review of our investigational new drug applications, or INDs, or other submissions,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INDs or other submissions.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 from our product candidates will depend on our ability to:</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contract manufacturing organizations, or CMOs, in sufficient quantities and at acceptable quality and manufacturing cost to meet commercial demand at launch and thereafter;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permits broad product adoption;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other therapies in development;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commercialize any of our products that receive regulatory approval;</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healthcare professionals, patient advocacy groups, and communication of healthcare economic information to payors and formularies;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our product will be used as directed and that additional unexpected safety risks will not arise.</w:t>
      </w:r>
    </w:p>
    <w:p>
      <w:pPr>
        <w:spacing w:after="0" w:line="329"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our independent registered public accounting firm have concluded that there is substantial doubt as to our ability to continue as a going concern. If we cannot continue as a going concern, our stockholders may lose some or all of their investment in our company.</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audited financial statements and unaudited condensed financial statements, each included elsewhere in this prospectus, were prepared assuming that we will continue as a going concern. The going concern basis of presentation assumes that we will continue in operation for the foreseeable future and will be able to realize our assets and satisfy our liabilities in the normal course of business and do not include any adjustments to reflect the possible future effects on the recoverability and classification of assets or amounts and classification of liabilities that may result from our inability to continue as a going concern. As reflected in the audited financial statements and unaudited condensed financial statements, each included elsewhere in this prospectus, we have incurred significant operating losses in the past, and we expect to continue to incur significant operating losses and negative cash flows for the foreseeable future. To date, we have relied on preferred stock financings to fund our operations. For the years ended December 31, 2021 and 2022, we reported a net loss of $26.4 million and $28.9 million, respectively, and for the nine months ended September 30, 2022 and 2023, we reported a net loss of $20.4 million and $39.7 million, respectively. As of September 30, 2023, we had an accumulated deficit of $115.4 million. Our management concluded that, based on our expected operating losses and negative cash flows, there is substantial doubt about our ability to continue as a going concern for the 12 months after the date</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unaudited condensed financial statements were issued. After this offering, we expect to continue raising additional financing and may not achieve the funding we require such that substantial doubt about our ability to continue as a going concern continues. Changing circumstances, some of which may be beyond our control, could cause us to consume capital significantly faster than we currently anticipate, and we may need to seek additional funds sooner than planned.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 If we cannot continue as a going concern, our stockholders may lose some or all of their investment in us.</w:t>
      </w:r>
    </w:p>
    <w:p>
      <w:pPr>
        <w:spacing w:after="0" w:line="291"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and resources to new compliance initiatives.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Securities Exchange Act of 1934, as amended, or the Exchange Act, the Sarbanes-Oxley Act of 2002, or the Sarbanes-Oxley Act, the Dodd-Frank Wall Street Reform and Consumer Protection Act, the listing requirements of The Nasdaq Stock Market LLC, or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controls and other finance personnel or consultants in order to develop and implement appropriate internal controls and reporting procedures, which will increase our costs and expenses.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92"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fail to remediate these material weaknesses, or if we experience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7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for the year ended December 31, 2022, material weaknesses were identified in the design and operating effectiveness of our internal control over financial reporting. A material weakness is a deficiency, or combination of deficiencies, in internal control over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financial reporting, such that there is a reasonable possibility that a material misstatement of the annual or interim financial statements will not be prevented or detected on a timely basis.</w:t>
      </w:r>
    </w:p>
    <w:p>
      <w:pPr>
        <w:spacing w:after="0" w:line="162"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We did not appropriately design and maintain entity-level controls impacting the control environment, risk assessment, control activities, information and communication and monitoring activities to prevent or detect material misstatements to the financial statements. These material weaknesses related to (i) an insufficient number of qualified resources to ensure adequate oversight and accountability over the performance of controls, including retention of control evidence, (ii) ineffective identification and assessment of risks impacting internal control over financial reporting, and</w:t>
      </w:r>
    </w:p>
    <w:p>
      <w:pPr>
        <w:spacing w:after="0" w:line="3" w:lineRule="exact"/>
        <w:rPr>
          <w:sz w:val="20"/>
          <w:szCs w:val="20"/>
          <w:color w:val="auto"/>
        </w:rPr>
      </w:pPr>
    </w:p>
    <w:p>
      <w:pPr>
        <w:ind w:left="120" w:right="460" w:hanging="4"/>
        <w:spacing w:after="0" w:line="260" w:lineRule="auto"/>
        <w:tabs>
          <w:tab w:leader="none" w:pos="4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evaluation and determination as to whether the components of internal controls were present and functioning based upon evidence maintained for management review controls and activity level controls across substantially all financial statement areas.</w:t>
      </w:r>
    </w:p>
    <w:p>
      <w:pPr>
        <w:spacing w:after="0" w:line="18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These material weaknesses contributed to the following additional material weakness: we did not design and maintain effective (i) general controls over information systems that support the financial reporting process, (ii) controls over the completeness and accuracy of information used in the operation of control activities across substantially all financial statement areas, and (iii) management review controls at a sufficient level of precision to detect a material misstatement across substantially all financial statement areas that involve complex and judgmental areas of accounting and disclosure.</w:t>
      </w:r>
    </w:p>
    <w:p>
      <w:pPr>
        <w:spacing w:after="0" w:line="16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substantially all of our accounts or disclosures that would result in a material misstatement of our annual or interim financial statements that would not be prevented or detected.</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plan to implement formal risk assessment processes and procedures and design sufficient controls to remediate these weaknesses. We intend to hire additional experienced accounting and financial reporting personnel, formalize design and implementation of internal controls over the financial reporting process, including general controls over information systems.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We expect to implement new procedures and controls and take efforts to address each of the identified weaknesses during fiscal years 2023 and 2024, and anticipate that the full remediation of the material weaknesses identified will extend beyond December 31, 2023. These remediation measures will be time consuming and require financial and operational resources.</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will be required, pursuant to Section 404 of the Sarbanes Oxley Act to furnish a report by management on, among other things, the effectiveness of our internal control over financial reporting for the fiscal year ending December 31, 2024. This assessment will need to include disclosure of any material weaknesses identified by our management in our internal control over financial reporting and will require that we incur substantial additional professional fees and internal costs to expand our accounting and finance functions and that we expend significant management efforts.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We may not be able to implement improvements to our management information and control systems in an efficient or timely manner and may discover deficiencies in existing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systems and controls.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product candidates, if approved, do not achieve broad market acceptance, the revenue that we generate from their sales will be limited.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beyond our control, including:</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tolerability and ease of administration of our product candidates;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 associated with our product candidates, and how the safety and tolerability profile of our product candidates compares to those of existing therapies, or those under development;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risk evaluation and mitigation strategy, or REMS, or voluntary risk management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of administration of such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as compared to the clinical benefit in relation to alternative treatments or therapies;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patients to switch from their existing therapy regardless of the safety and efficacy of newer products;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27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we conduct clinical trials of our current or future product candidates and as our product candidates are used in named patient programs,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FDA, the European Medicines Agency, or the EMA,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are seeking to target are often heavily immunosuppressed and may be more likely to experience serious adverse events with potential treatments and have higher morbidity rates generally than other patient populations. We may need to obtain higher levels of product liability insurance for later stages of clinical development or marketing any of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296" w:lineRule="exact"/>
        <w:rPr>
          <w:sz w:val="20"/>
          <w:szCs w:val="20"/>
          <w:color w:val="auto"/>
        </w:rPr>
      </w:pPr>
    </w:p>
    <w:p>
      <w:pPr>
        <w:jc w:val="both"/>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w:t>
      </w:r>
    </w:p>
    <w:p>
      <w:pPr>
        <w:spacing w:after="0" w:line="6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we had 84 full-time employees. As our development and commercialization plans and strategies develop, and as we transition into operating as a public company, we expect to expand our employee base for managerial, operational, financial and other resources. In addition, we have limited experience in manufacturing, marketing and commercialization. As our product candidates enter and advance through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our success depends in part on our continued ability to attract, retain and motivate highly qualified management, clinical and scientific personnel. We are highly dependent upon our Chief Executive Officer, Peter Maag, Ph.D.,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San Francisco Bay Area.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adversely affect our business, results of operations and financial condition.</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contractors or partners. Misconduct by these parties could include failures to comply with FDA regulations or comparable foreign regulations, to provide accurate information to the FDA or comparable foreign authorities, to comply with federal, state or foreign healthcare fraud and abuse laws and regulations, to report financial information or data timely, completely or accurately, or to disclose unauthorized activities to us, or failure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p>
    <w:p>
      <w:pPr>
        <w:spacing w:after="0" w:line="298"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6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if we were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or NOL, carryforwards and certain other tax attributes to offset taxable income or taxes may be limited.</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2022, we had federal NOL carryforwards of $28.2 million and state NOL carryforwards of $49.3 million. Under the Internal Revenue Code of 1986, as amended, or the Code, our U.S. federal net operating losses will not expire and may be carried forward indefinitely but the deductibility of federal net operating losses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completed several fundraises in recent years, increasing the likelihood there have been changes in ownership that would limit our ability to utilize tax attribute carryforwards. Furthermore, there may be additional ownership changes in the future, including in connection with this offering or as a result of subsequent changes in our stock ownership, some of which may be outside of our control. As a result, if we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and future changes to tax laws could materially adversely affect our company.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Inflation Reduction Act, or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spacing w:after="0" w:line="284" w:lineRule="exact"/>
        <w:rPr>
          <w:sz w:val="20"/>
          <w:szCs w:val="20"/>
          <w:color w:val="auto"/>
        </w:rPr>
      </w:pPr>
    </w:p>
    <w:p>
      <w:pPr>
        <w:jc w:val="both"/>
        <w:ind w:left="120"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concentrated in one location, and we or the third parties upon whom we depend may be adversely affected by a wildfire and earthquake or other natural disasters and our business continuity and disaster recovery plans may not adequately protect us from a serious disaster.</w:t>
      </w:r>
    </w:p>
    <w:p>
      <w:pPr>
        <w:spacing w:after="0" w:line="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contract research organizations, or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Following the COVID-19 pandemic and in connection with geopolitical conflicts, global economic and business activities continue to face widespread uncertainties. A severe or prolonged economic downturn, or additional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For example, the failures of Silicon Valley Bank, Signature Bank and First Republic Bank in the first half of 2023 resulted in significant disruption in the financial services industry. If any of the banks which hold our cash deposits were to be placed into receivership, we may be unable to access our cash, cash equivalents and available-for-sale marketable securities, which would adversely affect our business. In addition, if any of the third parties on which we rely to conduct certain aspects of our preclinical studies or clinical trials are unable to access funds pursuant to such instruments or lending arrangements with such a financial institution, such parties’ ability to fulfill their obligations to us could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or our directors or officers may be subject to securities litigation, which is expensive and could divert management attention.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may be the target of securities litigation in the future, including based on volatility in the market price of our stock. The stock market in general, and Nasdaq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In addition, certain of our directors and officers are involved in ongoing securities or other lawsuits in the context of their roles with other public companies, and our directors or officers may in the future become involved in such litigation. Securities litigation (including the cost to defend against, and any potential adverse outcome resulting from any such proceeding) can be expensive, time-consuming, damage our reputation and divert our management’s and board’s attention from other business concerns, which could seriously harm our business.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Research, Development and Commercialization</w:t>
      </w:r>
    </w:p>
    <w:p>
      <w:pPr>
        <w:spacing w:after="0" w:line="11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large-scale or pivotal clinical trials, and we may be unable to do so for any product candidates we develop.</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not yet demonstrated our ability to successfully complete any large-scale or pivotal clinical trials, obtain regulatory approvals, manufacture a commercial scale product, or arrange for a third party to do so on our behalf, or conduct sales and marketing activities necessary for successful commercialization. Although our key employees have significant experience in leading clinical development programs, our experience conducting clinical trials with our product candidates is limited. Developing cell therapies, in particular autologous cell therapies, is a complex and resource-intensive process requiring a team of scientists, clinicians, and technical and regulatory experts. We may not be able to file INDs for any of our other product candidates on the timelines we expect, if at all. For example, we cannot be certain that the IND-enabling studies for our product candidates will be completed in a timely manner or be successful or that the manufacturing process will be validated in a timely manner. Even if we submit an IND for a product candidate, the FDA may not clear the IND and allow us to begin clinical trials in a timely manner or at all. The timing of submissions of INDs for our product candidates will be dependent on further preclinical and manufacturing success. Moreover, we cannot be sure that submission of an IND will result in the FDA allowing further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p>
    <w:p>
      <w:pPr>
        <w:spacing w:after="0" w:line="19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have the product removed from the market after obtaining marketing approval.</w:t>
      </w:r>
    </w:p>
    <w:p>
      <w:pPr>
        <w:spacing w:after="0" w:line="329" w:lineRule="exact"/>
        <w:rPr>
          <w:sz w:val="20"/>
          <w:szCs w:val="20"/>
          <w:color w:val="auto"/>
        </w:rPr>
      </w:pPr>
    </w:p>
    <w:p>
      <w:pPr>
        <w:jc w:val="both"/>
        <w:ind w:left="12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regulatory approval.</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supply our investigational product candidate, KYV-101, in investigator-initiated trials and on a named patient basis to patients who have exhausted other treatment options and for whom there is a strong scientific rationale to support the use of an unapproved product candidate. The investigator-initiated trials we supply to are located in the United States, and the independent investigators of such trials file INDs for the treatment of multiple or individual patients with KYV-101. We also currently supply KYV-101 for use in single named patients in Germany, through a European distributor. In Germany, these single-patient efforts are termed “Individueller Heilversuch,” or single-patient treatment healing attempts, and occur outside of a controlled clinical trial setting and are not part of a compassionate use program or a codified German regulatory path. These investigator-initiated trials and the provision of KYV-101 on a named patient basis are not a substitute for, or intended to replace, our clinical trials. The primary goal of these healing attempts is not to assess the effectiveness of a potential therapy, but rather to provide the individual patient with the best possible treatment option, as determined by the patient’s physician. We evaluate whether to grant such access or similar access in other foreign countries to KYV-101 outside of our sponsored clinical trials on a case-by-case basis.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do not control the design, administration or timing of investigator-initiated trials. In addition, named patient treatments are carried out by independent physicians in a manner that the physician determines to be appropriate, which may be inconsistent from patient to patient and may not be conducted in strict compliance with good clinical practices, or GCPs, which can lead to a treatment effect that may differ from that in our controlled clinical trials. In addition, we rely on each investigator and physician to ensure their own compliance with clinical and regulatory requirements in using our product candidate for investigator-initiated trials and named patient activities, and we could be subject to liability if they are out of compliance. Individual patient results from named patient settings, including, but not limited to, data, experiences, images or videos, are observational, patient-specific and reported by the patients’ respective physicians. Because of our lack of control over the settings in which these patients are given KYV-101, we cannot assure you that any positive results from such named patient activities are attributable to KYV-101, or that administration of KYV-101 to other patients will have similar positive results. Patient data from these trials and named patient activities are not designed to be aggregated or reported as results and may be highly variable.</w:t>
      </w:r>
    </w:p>
    <w:p>
      <w:pPr>
        <w:spacing w:after="0" w:line="194"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investigator-initiated trials and named patient activities may not be used to establish safety or efficacy for purposes of obtaining regulatory approval.</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contrast, such trials and named patient activities could potentially identify significant concerns with respect to our product candidates that could impact our findings or clinical trials, and adversely affect our ability to obtain marketing approval from the FDA or other applicable regulatory authorities. To the extent the results of investigator-initiated trials or named patient activities are inconsistent with, or different from, the results of our sponsored trials or raise concerns regarding our product candidates, the FDA or a foreign regulatory authority may question the well-controlled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the risk for serious adverse events in the patient population of such trials and named patient activities is high. Adverse events, if attributed to our product candidate, could have a negative impact on the safety profile of our product candidates, and in turn cause significant delays or an inability to obtain regulatory approval or successfully commercialize our drug candidates.</w:t>
      </w:r>
    </w:p>
    <w:p>
      <w:pPr>
        <w:spacing w:after="0" w:line="188"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Furthermore, there is no guarantee that we will be able to continue to receive or publicize observational data through investigator-initiated trials or named patient activities using our product candidates. Our supply capabilities may limit the number of patients who are able to enroll in these trials or the number of named patients that can be treated, and we may in the future need to restructure or pause such supply in order to enroll sufficient numbers of patients in our sponsored clinical trials, which could prompt adverse publicity or other disruptions. In addition, there is no clear regulatory framework under which we may supply our unapproved investigational product candidate in named patient settings, particularly for multiple named patients, outside of a clinical trial or a compassionate use program that is registered with applicable regulatory authorities. Our single-patient healing attempts are not part of a clinical trial or a compassionate use program that is registered with German regulatory authorities. As a result, if such supply, or our use of data from named patient activities, is found to contravene regulatory requirements, we could potentially be subjected to liability, fines or other consequences, which could be further exacerbated if such patients experience adverse safety events. Furthermore, if we supply our unapproved investigational product candidate to a named patient who would have qualified for enrollment in our KYSA-3 clinical trial in Germany, we may be subject to additional penalties. We also rely on each investigator and physician to ensure their own compliance with clinical and regulatory requirements in using our product candidate for investigator-initiated trials and named patient activities, and could be subject to liability if they are out of compliance.</w:t>
      </w:r>
    </w:p>
    <w:p>
      <w:pPr>
        <w:spacing w:after="0" w:line="1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6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All of our product candidates are either in preclinical or clinical development and their risk of failure is high. Some of the product candidates and technologies we are developing are novel and unproven, which makes it difficult to accurately predict the challenges we may face with respect to our product candidates as they proceed through development.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are seeking to target are often heavily immunosuppressed and may be more likely to experience serious adverse events with potential treatments and have higher morbidity rates generally than other patient populations. It is also impossible to predict whether our clinical trials will continue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Commencing any future clinical trials is subject to finalizing the trial design and submitting an application to the FDA or a similar foreign regulatory authority. Even after we make our submission, the FDA or other regulatory authorities could disagree that we have satisfied their requirements to commence our clinical trials or disagree with our study design, which may require us to complete additional trials or amend our protocols or impose stricter conditions on the commencement of clinical trials.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w:t>
      </w:r>
    </w:p>
    <w:p>
      <w:pPr>
        <w:spacing w:after="0" w:line="205"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p>
    <w:p>
      <w:pPr>
        <w:spacing w:after="0" w:line="85" w:lineRule="exact"/>
        <w:rPr>
          <w:sz w:val="20"/>
          <w:szCs w:val="20"/>
          <w:color w:val="auto"/>
        </w:rPr>
      </w:pPr>
    </w:p>
    <w:p>
      <w:pPr>
        <w:ind w:left="1080" w:right="2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or comparable foreign regulatory agencies,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trial sites and CROs, the terms of which can be subject to extensive negotiation and may vary significantly;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 or we may have insufficient funds for a clinical trial or to pay the substantial user fees required by the FDA upon the submission of a Biologic License Application, or BLA, or new drug application, or NDA;</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quantity of data relating to our product candidates or other materials necessary to conduct our clinical trials may be inadequate to initiate or complete a given clinical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tolerability or efficacy concerns about our product candidates;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176"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put on clinical hold or terminated by us, the IRBs of the institutions in which such trials are being conducted, the FDA, EMA or other regulatory authorities, or if a clinical trial is recommended for suspension or termination by the Data Safety Monitoring Board, or DSMB, for such trial. A suspension or termination may be imposed due to a number of factors, including failure to conduct the clinical trial in accordance with regulatory requirements or our clinical protocols, failure by our CROs to perform in accordance with GCP requirements, or applicable regulatory guidelines in other countries, inspection of the clinical trial operations or trial site by the FDA, EMA or other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EMA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the need to obtain agreement from multiple parties and may increase our future costs and expenses.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clinical trials, our clinical development activities could be delayed or otherwise adversely affected, which could adversely affect our business, results of operations and financial condition.</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p>
    <w:p>
      <w:pPr>
        <w:spacing w:after="0" w:line="8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the administration of our product candidates or trial completion;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drugs approved for the indication the clinical trial is investigating;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being studied in relation to other available therapies;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outside of our control, such as the effects of global economic conditions and volatility in the credit and financial markets, inflationary pressures, the Russian invasion of Ukraine, the Israel-Hamas war and other geopolitical conditions.</w:t>
      </w:r>
    </w:p>
    <w:p>
      <w:pPr>
        <w:spacing w:after="0" w:line="162"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spacing w:after="0" w:line="17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320" w:top="455"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1"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3"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5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our development efforts on certain selected product candidates in certain selected indications. As a result, we may forgo or delay pursuit of opportunities with other product candidates, or other indications for our existing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5"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commercial collaborations for our product candidates, and, if we are not able to establish them on commercially reasonable terms, we may have to alter our development and commercialization plans.</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other pharmaceutical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biotechnology companies for the development and potential commercialization of our product candidates. In December 2021, we entered into a License and Collaboration Agreement, or the Intellia Agreement, with Intellia Therapeutics, Inc., a clinical-stage biotechnology company focused on developing novel therapeutics leveraging CRISPR-based technologies, or Intellia, to research and develop an allogeneic cell therapy product, or the CRISPR Product Candidate. Collaborations are complex and time-consuming to negotiate and document.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96"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therapies is highly competitive. Our product candidates, if approved, will face significant competition, including from well-established, currently marketed therapies and our failure to demonstrate a meaningful improvement to the existing standard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pharmaceutical and biotechnology companies, hospitals and clinics, academic research institutions and governmental agencies and public and private research institutions. Our competitors compete with us on the level of the technologies employed, or on the level of development of their products as compared to our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any future product candidates. We anticipate that we will continue to face increasing competition as new therapies and combinations thereof, and related data emerge.</w:t>
      </w:r>
    </w:p>
    <w:p>
      <w:pPr>
        <w:spacing w:after="0" w:line="194"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Our current product candidates, initially under development for treatment of various immunological indications, if approved, would face competition from existing approved immunological treatments, many of which have achieved commercial success. For example, we are currently developing KYV-101 for the treatment of B-cell-driven autoimmune diseases. Many emerging and established life sciences companies have been focused on similar therapeutics, including CAR T-cell candidates for B-cell-driven autoimmune diseases. If approved, KYV-101 would compete with currently approved therapeutics, including Rituxan and Ocrevus, both from Roche Holding AG, and generic immunosuppressive or biosimilar drugs, such as mycophenolate mofetil, glucocorticoids, azathioprine, cyclophosphamide, and IVIG, among others we anticipate will receive approvals in the near term. There are also a number of product candidates in clinical development by third parties that are intended to treat some B-cell-driven autoimmune diseases, such as obinutuzumab (targeting CD20 on B cells), which is also from Genentech/Roche Holding AG.</w:t>
      </w:r>
    </w:p>
    <w:p>
      <w:pPr>
        <w:spacing w:after="0" w:line="192"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To compete successfully, we need to disrupt these currently marketed drugs, meaning that we will have to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Furthermore, even if our product candidates demonstrate meaningful improvements in these attributes, acceptance of our products may be inhibited by the reluctance of physicians to switch from existing therapies to our products, or if physicians choose to reserve our products for use in limited circumstances.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announce and expect, the commercialization of our programs may be delayed and our expenses may increase and, as a result, our stock price may decline.</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296" w:lineRule="exact"/>
        <w:rPr>
          <w:sz w:val="20"/>
          <w:szCs w:val="20"/>
          <w:color w:val="auto"/>
        </w:rPr>
      </w:pPr>
    </w:p>
    <w:p>
      <w:pPr>
        <w:ind w:left="120"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our product candidates could be associated with side effects, adverse events or other properties or safety risks, which could cause us to suspend or discontinue clinical trials, abandon a product candidate, delay or preclude approval, prevent market acceptance, limit the commercial profile of an approved label or result in other significant negative consequences that could severely harm our business, results of operations and financial condition.</w:t>
      </w:r>
    </w:p>
    <w:p>
      <w:pPr>
        <w:spacing w:after="0" w:line="7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products, we must demonstrate through lengthy, complex and expensive preclinical studies and clinical trials that our current product candidates, including our lead product candidates, and any future product candidate are both safe, pure and potent, or effective for use in such product candidate’s target indication. Clinical testing is expensive, can take many years to complete and its outcome is inherently uncertain. In addition, some of the product candidates and technologies we are developing are novel and unproven, which makes it impossible to predict whether our clinical trials will continue. The patient population that our product candidates are seeking to target also are often heavily immunosuppressed and may be more likely to experience serious adverse events with potential treatments and have higher morbidity rates generally than other patient populations. Failure can occur at any time during the clinical trial process. The results of preclinical studies and early clinical trials of our product candidates may not be predictive of the results of later-stage clinical trials. In addition, initial success in clinical trials may not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indicative of results obtained when such trials are completed. There is typically an extremely high rate of attrition from the failure of product candidates proceeding through clinical trials. Product candidates in later stages of clinical trials may fail to generate desired safety and efficacy data despite having progressed through preclinical studies and initial clinical trials. A number of companies in the biopharmaceutical and biotechnology industries have suffered significant setbacks in advanced clinical trials due to lack of efficacy or unacceptable safety issues, notwithstanding promising results in earlier trials. Most product candidates that commence clinical trials are never approved and there can be no assurance that any of our clinical trials will ultimately be successful or support further clinical development of our current product candidates or any of our future product candidates or ultimately their approval. We do not expect to be able to use the results from any investigator initiated trials or named patient activities conducted with our product candidates in any regulatory submission for marketing approval.</w:t>
      </w:r>
    </w:p>
    <w:p>
      <w:pPr>
        <w:spacing w:after="0" w:line="192" w:lineRule="exact"/>
        <w:rPr>
          <w:sz w:val="20"/>
          <w:szCs w:val="20"/>
          <w:color w:val="auto"/>
        </w:rPr>
      </w:pPr>
    </w:p>
    <w:p>
      <w:pPr>
        <w:ind w:left="120" w:right="380" w:firstLine="440"/>
        <w:spacing w:after="0" w:line="256"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In addition, negative results from investigator initiated trials as well as named patient activities involving our product candidates could cause similar issues. The drug-related side effects could affect patient recruitment or the ability of enrolled patients to complete the trial or result in potential product liability claims. Any of these occurrences may harm our business, results of operations and financial condition significantly.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clinical trials or investigator initiated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results of operations and financial condition significantly.</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Patients in our ongoing and planned clinical trials may in the future suffer significant adverse events or other side effects not observed in our preclinical studies or previous clinical trials. In addition, if our product candidates are used in combination with other therapies, our product candidates may exacerbate adverse events associated with the therapy. Patients treated with our product candidates may also be undergoing surgical, radiation 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significant adverse events or other side effects are observed in any of our current or future clinical trials, in any investigator initiated trials conducted with our product candidates, or in our named patient activities, we may have difficulty recruiting patients to the clinical trials, patients may drop out of our trials, or we may be required to abandon the trials or our development efforts of that product candidate altogether. 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results of operations and financial condition.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Such delayed side effects might be observed during the long-term follow-up FDA has insisted upon for certain gene therapy products. For example, the FDA could require us to adopt a Risk Evaluation and Mitigation Strategy, or REMS,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 that:</w:t>
      </w:r>
    </w:p>
    <w:p>
      <w:pPr>
        <w:spacing w:after="0" w:line="9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from the marketplace,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26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formulation or analytical methods may result in additional costs or delay, which could adversely affect our business, results of operations and financial condition.</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later-stage clinical trials towards approval and future commercialization, it is common that various aspects of the development program, such as manufacturing methods, formulation or analytical methods, are altered throughout the development process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 If we or our CMOs are not able to successfully manufacture our product candidates in sufficient quality and quantity, clinical development and timelines for our product candidates and subsequent approval could be adversely impacted.</w:t>
      </w:r>
    </w:p>
    <w:p>
      <w:pPr>
        <w:spacing w:after="0" w:line="292"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5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30" w:lineRule="exact"/>
        <w:rPr>
          <w:rFonts w:ascii="Times New Roman" w:cs="Times New Roman" w:eastAsia="Times New Roman" w:hAnsi="Times New Roman"/>
          <w:sz w:val="18"/>
          <w:szCs w:val="18"/>
          <w:color w:val="auto"/>
        </w:rPr>
      </w:pPr>
    </w:p>
    <w:p>
      <w:pPr>
        <w:ind w:left="5540" w:right="2240" w:hanging="4884"/>
        <w:spacing w:after="0" w:line="454" w:lineRule="auto"/>
        <w:tabs>
          <w:tab w:leader="none" w:pos="10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 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and privacy requirements for the conduct of clinical trials;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and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obtaining any local supply of drugs or agents used with our product candidates, which are required by certain local clinical trial sites before conducting any study;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health epidemics or pandemics, or natural or man-made disasters, including earthquakes, tsunamis, fires or other medical epidemics, or geo-political actions, including war and terrorism.</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collaboration with Intellia may materially adversely affect our ability to attain or maintain profitable operations.</w:t>
      </w:r>
    </w:p>
    <w:p>
      <w:pPr>
        <w:spacing w:after="0" w:line="266"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 for any products that we may develop is subject to the FDA or comparable foreign authority approval process, and we currently, and will need to continue to, contract with manufacturers who can meet our and all applicable FDA or comparable foreign authority requirements on an ongoing basis.</w:t>
      </w:r>
    </w:p>
    <w:p>
      <w:pPr>
        <w:spacing w:after="0" w:line="6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manufacturing process for any products that we may develop is subject to the FDA or comparable foreign authority approval process, and any contractors with which we contract for manufacturing must meet all applicable FDA or comparable foreign authority requirements on an ongoing basis. If we or our CMOs are unable to reliably produce products to specifications acceptable to the FDA or comparable foreign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withdrawal of approvals, license revocation, suspension of production or recalls of the product candidates or marketed biologics, operating restriction and criminal prosecutions, delay approval of our product candidates, impair commercialization efforts, increase our cost of goods, and have an adverse effect on our business, financial condition, results of operations and growth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and results of operations. In addition, we could incur higher manufacturing costs if manufacturing processes or standards change, and we could need to replace, modify, design or build and install equipment, all of which would require additional capital expenditures. Specifically, because our product candidates may have a higher cost of goods than conventional therapies, the risk that coverage and reimbursement rates may be inadequate for us to achieve profitability may be greater.</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rely on third party CMOs to manufacture and supply cell therapy products for our research and development purposes and for our clinical trials. Under our Master Services Agreement with WuXi ATU Advanced Therapies Inc., dated March 2022, or the WuXi Agreement, WuXi provides us certain with certain customized cell manufacturing, release and testing services for our KYV-101 product candidate. Pursuant to our Licence and Supply Agreement with Oxford Biomedica (UK) Limited, or Oxford, dated September 2023, or the Oxford Agreement, we recently engaged Oxford to undertake lentiviral vector process development services, with the intention for Oxford to ultimately manufacture and supply to us lentiviral vectors for research and development purposes and for use in connection with our clinical trials. Although we believe we currently have sufficient clinical-grade vector in inventory to move forward with our anticipated clinical trials, there is no guarantee that sufficient clinical-grade vector will be available in the quantities we require in the future or on terms that are acceptable to us. In July 2023, we entered into a Development and Manufacturing Services Agreement, or the ElevateBio Agreement, with ElevateBio Base Camp, Inc., or ElevateBio, pursuant to which ElevateBio is undertaking process development services for the development of a low-cost, fully closed manufacturing process for our CAR T-cell product candidates.</w:t>
      </w:r>
    </w:p>
    <w:p>
      <w:pPr>
        <w:spacing w:after="0" w:line="194"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 candidates;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synchronize operations and standards to ensure that all aspects of manufacturing are consistent without deviations across facilities.</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manufacturers that operate under current Good Manufacturing Practice, or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Moreover, if we are unable to manufacture or contract for a sufficient supply of our product candidates on acceptable terms, or if we encounter delays or difficulties in the scale-up of our manufacturing processes or our relationships with Wuxi or other manufacturers,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and results of operations. In addition, if any of our product candidates are approved for sale, our inability to manufacture or contract for a sufficient supply of such potential future products on acceptable terms would have a material adverse effect on our business, financial condition and results of operations.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could adversely affect our business, results of operations and financial condition.</w:t>
      </w:r>
    </w:p>
    <w:p>
      <w:pPr>
        <w:spacing w:after="0" w:line="5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For example, we have two patent license agreements, or the NIH Agreements, with the National Institutes of Health, or the NIH, pursuant to which we obtained exclusive, worldwide licenses to certain patents to use an anti-CD19 CAR in our autologous and allogeneic CAR T-cell products for the treatment of patients with autoimmune disease, which is the CAR we used to create our lead product candidate, KYV-101. Any termination of these licenses could result in the loss of significant rights and could harm our ability to commercialize our product candidates.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also may arise between us and our licensors regarding intellectual property subject to a license agreement, including:</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future commercialization of our product candidates,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and rights to use inventions and know-how resulting from the joint or individual creation or use of intellectual property by our licensors and us and our partners.</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certain of our current and future agreements with third parties may limit or delay our ability to consummate certain transactions, may impact the value of those transactions, or may limit our ability to pursue certain activities. For example, we may enter into license agreements that are not assignable or transferable, or that require the licensor’s express consent in order for an assignment or transfer to take place.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generally also are subject to all of the same risks with respect to protection of intellectual property that we license, as we are for intellectual property that we own, which are described in this “Risk Factors” section. If we or our licensors fail to adequately protect this intellectual property, our business, results of operations and financial condition could be adversely affected.</w:t>
      </w:r>
    </w:p>
    <w:p>
      <w:pPr>
        <w:spacing w:after="0" w:line="280"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rely upon a combination of in-licensed patents, know-how and confidentiality agreements to protect the intellectual property related to our product candidates and technologies and to prevent third parties from copying and surpassing our achievements, thus eroding our competitive position in our market. For example, pursuant to the NIH Agreements, we obtained exclusive, worldwide licenses to certain patents to use an anti-CD19 CAR in our autologous and allogeneic CAR T-cell products for the treatment of patients with autoimmune disease, which is the CAR we used to create our lead product candidate, KYV-101.</w:t>
      </w:r>
    </w:p>
    <w:p>
      <w:pPr>
        <w:spacing w:after="0" w:line="183"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our existing patents and any future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spacing w:after="0" w:line="17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also dependent on our licensors to take necessary action to comply with patent protection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or our collaborators’ or licensors’ pending patent applications directed to composition of matter of our product candidates will be considered patentable by the United States Patent and Trademark Office, or the USPTO, or by patent offices in foreign countries, or that the claims in any of our or our licensors’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challenged and invalidated or rendered unenforceable. As a result, the issuance, inventorship, scope, validity, enforceability and commercial value of our or our licensors’ patent rights are highly uncertain.</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or our licensors’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28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issued patents or patents that issue in the future will not be challenged and rendered invalid and/or unenforceable.</w:t>
      </w:r>
    </w:p>
    <w:p>
      <w:pPr>
        <w:spacing w:after="0" w:line="5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We have pending and issued U.S. and foreign patents and patent applications in our portfolio; however, we cannot predict:</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issued patent will provide protection against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130" w:lineRule="exact"/>
        <w:rPr>
          <w:rFonts w:ascii="Times New Roman" w:cs="Times New Roman" w:eastAsia="Times New Roman" w:hAnsi="Times New Roman"/>
          <w:sz w:val="18"/>
          <w:szCs w:val="18"/>
          <w:color w:val="auto"/>
        </w:rPr>
      </w:pPr>
    </w:p>
    <w:p>
      <w:pPr>
        <w:jc w:val="center"/>
        <w:ind w:left="5540" w:right="1300" w:hanging="4884"/>
        <w:spacing w:after="0" w:line="454" w:lineRule="auto"/>
        <w:tabs>
          <w:tab w:leader="none" w:pos="10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 43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will result in issued patents with claims that cover each of our product candidates or uses thereof in the United States or in other foreign countries.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may be subject to a third-party pre-issuance submission of prior art to the USPTO or become involved in post-grant review procedures, oppositions, derivations, revocation,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88"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pending and future patent applications may not result in patents being issued that protect our product candidates, in whole or in part, or which effectively prevent others from commercializing competitive products.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an interference proceeding in the United States can be initiated by the USPTO or a third party to determine who was the first to invent any of the subject matter covered by the patent claims of our applications. Therefore, we cannot be certain that we were the first to make the inventions claimed in our patents or pending patent applications, or that we were the first to file for patent protection of such inventions.</w:t>
      </w:r>
    </w:p>
    <w:p>
      <w:pPr>
        <w:spacing w:after="0" w:line="19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patents owned by us are invalid, unenforceable or not infringed. In these circumstances, we may need to defend or assert our patents, or both, including by filing lawsuits alleging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licenses with third parties, we could lose license rights that are important to our business, which could adversely affect our business, results of operations and financial condition.</w:t>
      </w:r>
    </w:p>
    <w:p>
      <w:pPr>
        <w:spacing w:after="0" w:line="5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a party to license agreements pursuant to which we in-license patent and patent applications, know-how, trade secrets and data rights for our product candidates. These include, for example, the NIH Agreements, pursuant to which we obtained exclusive, worldwide licenses to certain patents to use an anti-CD19 CAR in our autologous and allogeneic CAR T-cell products for the treatment of patients with autoimmune disease, and the Intellia Agreement, which provides for the research and development of the CRISPR Product Candidate. These existing licenses impose on us various diligence, milestone payment, royalty, insurance and other obligations. If we fail to comply with these obligations, our licensors may have the right to terminate the license, in which event we would not be able to develop or market the products covered by such licensed intellectual property.</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may also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such activities by these licensors may not have been or may not be conducted in compliance with applicable laws and regulations or will result in valid and enforceable patents and other intellectual property rights. Our licensors may not successfully prosecute the patent applications to which we are licensed in a manner consistent with the best interests of our business.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prevent other companies from licensing some of the same intellectual properties that we have licensed or from otherwise duplicating our business model and operations.</w:t>
      </w:r>
    </w:p>
    <w:p>
      <w:pPr>
        <w:spacing w:after="0" w:line="5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Since parties we have licenses with are developing therapies to similar technologies, they may make their methods and data available to third parties, who may want to enter into our line of business and compete against us. Although we currently exclusively license certain intellectual property for each of our product candidates, there can be no assurance we will not need to license other intellectual property on a non-exclusive basis in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future or that our exclusively licensed intellectual property could be used to prevent third parties from duplicating our business plan or from otherwise directly competing against us. Further, no assurance can be given that our existing exclusive rights are or will be sufficient to prevent others from competing with us and developing substantially similar products.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current and any future product candidates on acceptable terms.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 Our product candidates also may require specific formulations to work effectively and efficiently and these rights may be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and governmental authorities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results of operations and financial condition could be adversely affected.</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licensed from various third parties may be subject to retained rights.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Our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 In particular, under the NIH Agreements the NIH reserves, on behalf of the United States federal government and certain third parties, an irrevocable, nonexclusive, worldwide, royalty-free license to practice all of the inventions licensed under such agreements, and the NIH also reserves the right to grant third parties research licenses on reasonable terms. Under the Intellia Agreement, Intellia is granted an irrevocable, nonexclusive, worldwide, royalty-free license to fully exploit certain Intellia-developed products that are not directed to CD19 or other B-cell antigens and which are not intended for treatment or prevention of autoimmune or inflammatory diseases or conditions and not for humoral rejection for solid organ transplantation.</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may at times choose to collaborate with academic institutions to accelerate our preclinical research or development.</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p>
    <w:p>
      <w:pPr>
        <w:spacing w:after="0" w:line="6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spacing w:after="0" w:line="187"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p>
    <w:p>
      <w:pPr>
        <w:spacing w:after="0" w:line="18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and may sue us for patent or other intellectual property infringement. These lawsuits are costly and could adversely affect our business, financial condition and results of operations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p>
    <w:p>
      <w:pPr>
        <w:spacing w:after="0" w:line="19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and results of operations. Any claims by third parties that we have misappropriated their confidential information or trade secrets could have a similar material and adverse effect on our business, financial condition and results of operations. In addition, any uncertainties resulting from the initiation and continuation of any litigation could have a material adverse effect on our ability to raise the funds necessary to continue our operations.</w:t>
      </w:r>
    </w:p>
    <w:p>
      <w:pPr>
        <w:spacing w:after="0" w:line="301"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time-consuming and unsuccessful.</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trademarks or other intellectual property. To counter infringement or unauthorized use, we or one of our licensing partners may be required to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In addition, the U.S. Supreme Court recently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at the EPO or similar proceedings in other foreign patent offices, where either our owned or in-licensed foreign patents are challenged.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w:t>
      </w:r>
    </w:p>
    <w:p>
      <w:pPr>
        <w:spacing w:after="0" w:line="287" w:lineRule="exact"/>
        <w:rPr>
          <w:sz w:val="20"/>
          <w:szCs w:val="20"/>
          <w:color w:val="auto"/>
        </w:rPr>
      </w:pPr>
    </w:p>
    <w:p>
      <w:pPr>
        <w:jc w:val="both"/>
        <w:ind w:left="120"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or our licensors’ patents and other intellectual property or claims asserting that our employees, consultants or advisors have wrongfully used or disclosed alleged trade secrets of their current or former employers.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an adequate amount of time. If we do not obtained patent term extension for our product candidates, our business may be materially harmed.</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or the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301"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w:t>
      </w:r>
    </w:p>
    <w:p>
      <w:pPr>
        <w:spacing w:after="0" w:line="19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unpredictable ways that would weaken our or our licensors’ ability to obtain new patents and patents that we or our licensors might obtain in the future.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will significantly impact European patents, including those granted before the introduction of the system. Under the unitary patent system, after a European patent is granted, the patent proprietor can request unitary effect, thereby getting a European patent with unitary Effect, or a Unitary Patent. Each Unitary Patent is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merely descriptive, generic or determined to be infringing on other marks. The use of our registered and unregistered marks is also limited by certain agreements with third parties.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not survive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such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adversely affect our business, results of operations and financial condition.</w:t>
      </w:r>
    </w:p>
    <w:p>
      <w:pPr>
        <w:spacing w:after="0" w:line="51"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Although we have environmental liability insurance for our California facility as required by the related lease agreement, we do not currently carry specific biological waste or hazardous waste insurance coverage, workers compensation or property and casualty and general liability insurance policies that include coverage for criminal damages and fines arising from biological or hazardous waste exposure or contamination.</w:t>
      </w:r>
    </w:p>
    <w:p>
      <w:pPr>
        <w:spacing w:after="0" w:line="28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currently conducting, and may in the future conduct clinical trials for our product candidates outside the United States, and the FDA and comparable foreign regulatory authorities may not accept data from such trials.</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conducted, are currently conducting, and may in the future conduct one or more clinical trials of our current or future product candidates outside the United States, including in Germany. The acceptance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United States, we may never receive regulatory approval to market outside of the United States.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United States and are currently conducting certain clinical trials internationally, including in Europe.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of 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clinical trials, and an extensive regulatory approval process are required to be completed successfully in the United States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discretion of the regulatory authorities. In addition, approval policies, regulations or the type and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of clinical data necessary to gain approval may change during the course of a product candidate’s clinical development and may vary among jurisdictions.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until we receive regulatory approval of our product candidates through a new drug application, or NDA, or biologics license application, or BLA, from the FDA. The FDA and other regulatory authorities may delay, limit or deny approval of our product candidates for many reasons, including:</w:t>
      </w:r>
    </w:p>
    <w:p>
      <w:pPr>
        <w:spacing w:after="0" w:line="93" w:lineRule="exact"/>
        <w:rPr>
          <w:sz w:val="20"/>
          <w:szCs w:val="20"/>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or other regulatory authorities that any of our product candidates are safe and effective for any indication;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or clinical significance required by the FDA or other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disagree with the number, design, size, conduct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not find the data from preclinical studies and clinical trials sufficient to demonstrate that the benefits of any of our product candidates outweigh their safety risks;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disagree with our interpretation of data from preclinical studies or clinical trials, or may not accept data generated at our clinical trial sites;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any of our product candidates may not be sufficient to support the submission of an IND or other application for regulatory approval;</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and other regulatory authorities may require a risk management plan, or RMP, as a condition of approval for new products, among other additional requirements;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identify deficiencies in the manufacturing processes or facilities of third-party manufacturers with which we enter into agreements for clinical and commercial supplies;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change their approval policies or adopt new regulations;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simultaneous approval for both adults and for children and adolescents, which may delay approval, or we may have successful clinical trial results for adults but not children and adolescents, or vice versa.</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any of these regulatory authorities may change requirements for the approval of a product candidate even after reviewing and providing comments or advice on a protocol for a clinical trial. The FDA or other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other regulatory authorities for obtaining approval.</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the FDA or other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or comparable foreign risk management approaches. The FDA or other regulatory authorities may not accept the labeling claims that we believe would be necessary or desirable for the successful commercialization of our product candidates.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Further, the FDA and its foreign counterparts may respond to any BLA or NDA that we may submit by defining requirements that we do not anticipate. Such responses could delay clinical development of any of our product candidates or any future product candidates.</w:t>
      </w:r>
    </w:p>
    <w:p>
      <w:pPr>
        <w:spacing w:after="0" w:line="16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On November 28, 2023, the FDA issued a statement that it is investigating serious risk of T-cell malignancy following BCMA-directed or CD19-directed autologous chimeric antigen receptor (CAR) T cell immunotherapies, such as KYV-101.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In January 2024, the FDA notified the manufacturers of the six FDA-approved BCMA-directed and CD19-directed chimeric CAR genetically modified autologous T-cell therapies that their products’ safety information must be updated to include a boxed warning that T-cell malignancies have occurred following treatment with BCMA-directed and CD19-directed genetically modified autologous T-cell immunotherapies. However, because all currently approved CAR T-cell immunotherapies are in oncology indications, there can be no assurance that FDA will reach the same risk-benefit analysis in other indications, such as autoimmune. Given that the autoimmune diseases we are seeking to treat are different indications from the approved oncology indications, the FDA and other regulatory authorities may apply a different benefit-risk assessment threshold such that even if our product candidate demonstrated a similar safety profile as current CAR T therapies, the FDA could ultimately determine that the harmful side effects outweigh the benefits and require us to cease clinical trials or deny approval of our product candidates.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warning on any of our product candidates that receive regulatory approval or impose additional post-approval requirements on any of our product candidates that receive regulatory approval.</w:t>
      </w:r>
    </w:p>
    <w:p>
      <w:pPr>
        <w:spacing w:after="0" w:line="18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29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product candidates, alone or with our partners, such product may become subject to unfavorable pricing regulations, third-party reimbursement practices or healthcare reform initiatives, which could harm our business.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spacing w:after="0" w:line="187"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spacing w:after="0" w:line="8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9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in July 2021, the Biden administration released an executive order, “Promoting Competition in the American Economy,” with multiple provisions aimed at prescription drugs. In response to President Biden’s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laws that may affect our ability to operate include, but are not limited to:</w:t>
      </w:r>
    </w:p>
    <w:p>
      <w:pPr>
        <w:spacing w:after="0" w:line="100" w:lineRule="exact"/>
        <w:rPr>
          <w:sz w:val="20"/>
          <w:szCs w:val="20"/>
          <w:color w:val="auto"/>
        </w:rPr>
      </w:pPr>
    </w:p>
    <w:p>
      <w:pPr>
        <w:ind w:left="1080" w:right="2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66" w:lineRule="auto"/>
        <w:rPr>
          <w:sz w:val="20"/>
          <w:szCs w:val="20"/>
          <w:color w:val="auto"/>
        </w:rPr>
      </w:pPr>
      <w:r>
        <w:rPr>
          <w:rFonts w:ascii="Times New Roman" w:cs="Times New Roman" w:eastAsia="Times New Roman" w:hAnsi="Times New Roman"/>
          <w:sz w:val="18"/>
          <w:szCs w:val="18"/>
          <w:color w:val="auto"/>
        </w:rPr>
        <w:t>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spacing w:after="0" w:line="81" w:lineRule="exact"/>
        <w:rPr>
          <w:sz w:val="20"/>
          <w:szCs w:val="20"/>
          <w:color w:val="auto"/>
        </w:rPr>
      </w:pPr>
    </w:p>
    <w:p>
      <w:pPr>
        <w:ind w:left="1080" w:right="160" w:hanging="424"/>
        <w:spacing w:after="0" w:line="253"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False Claims Act or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99" w:lineRule="exact"/>
        <w:rPr>
          <w:rFonts w:ascii="Times New Roman" w:cs="Times New Roman" w:eastAsia="Times New Roman" w:hAnsi="Times New Roman"/>
          <w:sz w:val="18"/>
          <w:szCs w:val="18"/>
          <w:color w:val="auto"/>
        </w:rPr>
      </w:pPr>
    </w:p>
    <w:p>
      <w:pPr>
        <w:ind w:left="1080" w:right="100" w:hanging="424"/>
        <w:spacing w:after="0" w:line="254"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spacing w:after="0" w:line="9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spacing w:after="0" w:line="92"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results of operations and financial condition.</w:t>
      </w:r>
    </w:p>
    <w:p>
      <w:pPr>
        <w:spacing w:after="0" w:line="292"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7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in the future seek an accelerated approval for one or more of our product candidates. Under the accelerated approval pathway,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under the Food and Drug Omnibus Reform Act of 2022, or FDORA, the FDA is permitted to require, as appropriate, that such studies be underway prior to approval or within a specified time period after the date accelerated approval is granted. FDORA also requires sponsors to send updates to the FDA every 180 days on the status of such studies, including progress toward enrollment targets, and the FDA must promptly post this information publicly. In addition, FDORA gives the FDA increased authority to withdraw accelerated approval on an expedited basis if, for example, the sponsor fails to conduct such studies in a timely manner, such studies fail to confirm the drug’s clinical benefit or the sponsor fails to send the necessary updates to the FDA. The FDA is empowered to take action against companies that fail to conduct with due diligence any post-approval confirmatory study or submit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312" w:lineRule="auto"/>
        <w:rPr>
          <w:sz w:val="20"/>
          <w:szCs w:val="20"/>
          <w:color w:val="auto"/>
        </w:rPr>
      </w:pPr>
      <w:r>
        <w:rPr>
          <w:rFonts w:ascii="Times New Roman" w:cs="Times New Roman" w:eastAsia="Times New Roman" w:hAnsi="Times New Roman"/>
          <w:sz w:val="17"/>
          <w:szCs w:val="17"/>
          <w:color w:val="auto"/>
        </w:rPr>
        <w:t>timely reports to the agency on their progress. In addition, the FDA generally requires, unless otherwise informed by the agency, pre-approval of promotional materials for products receiving accelerated approval, which could adversely impact the timing of the commercial launch of the product.</w:t>
      </w:r>
    </w:p>
    <w:p>
      <w:pPr>
        <w:spacing w:after="0" w:line="14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seeking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candidates would result in a longer time period to commercialization of such product candidate, if any, could increase the cost of development of such product candidate and could harm our competitive position in the marketplace.</w:t>
      </w:r>
    </w:p>
    <w:p>
      <w:pPr>
        <w:spacing w:after="0" w:line="298"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pursuing or maintaining Fast Track or other expedited regulatory designations for our product candidates, and such designations may not actually lead to a faster development or regulatory approval process.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Although we received Fast Track designation for KYV-101 for the treatment of patients with refractory lupus nephritis in May 2023, for KYV-101 for the treatment of patients with myasthenia gravis in December 2023 and for KYV-101 for the treatment of patients with multiple sclerosis in January 2024, these designations do not assure that we will experience a faster development process, regulatory review or regulatory approval process compared to conventional FDA procedures. In addition, the FDA may withdraw a Fast Track or other accelerated review designation if it believes that the designation is no longer supported by data from our clinical development program. Additionally, qualification for any expedited review procedure does not ensure that we will ultimately obtain regulatory approval for such product candidate. Access to an expedited program may expedite the development or approval process, but it does not change the standards for approval.</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Furthermore, although we may pursue additional opportunities to accelerate the development of certain of our product candidates through one or more of the FDA’s expedited program designations, we cannot be assured that any of our product candidates will qualify for such programs. The FDA may determine that our proposed target indication or other aspects of our clinical development plans do not qualify for such expedited program.</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5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6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 The ACA, among other things, subjected biologic products to potential competition by lower-cost biosimilars, addressed a new methodology by which rebates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owed by manufacturers under the Medicaid Drug Rebate Program, or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how other such challenges, and the healthcare reform measures of the Biden administration, will impact the ACA and our business.</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2031. Under current legislation, the actual reduction in Medicare payments will vary from 1% in 2022 to up to 4% in the final fiscal year of this sequester. In addition, on May 30, 2018, the Trickett Wendler, Frank Mongiello, Jordan McLinn, and Matthew Bellina Right to Try Act of 2017 was signed into law. The law, among other things, provides a federal framework for certain patients to access certain IND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IND products under the current federal right to try law. In certain countries outside the United States, reimbursement for products that have not yet received marketing authorization may be provided through national managed access programs.</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Changing regulatory environments could negatively impact our business.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180"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adverse effect on anticipated revenue from product candidates that we may successfully develop and for which we may obtain regulatory approval and may affect our overall financial condition and ability to develop product candidates.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December 2021, Regulation No. 2021/2282 on HTA, amending Directive 2011/24/EU, was adopted in the European Union. This Regulation, which entered into force in January 2022 and will apply as of January 2025, is intended to boost cooperation among EU Member States in assessing health technologies, including new medicinal products, and providing the basis for cooperation at European Union level for joint clinical assessments in these areas. The Regulation foresees a three-year transitional period and will permit EU Member States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European Union could be negatively affected.</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European Union may continue to propose and implement cost-containing measures to keep healthcare costs down.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European Union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or ESG, matters or our reporting of such matters.</w:t>
      </w:r>
    </w:p>
    <w:p>
      <w:pPr>
        <w:spacing w:after="0" w:line="12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There is an increasing focus from certain investors, employees, partners, and other stakeholders concerning ESG matters. While we have internal efforts directed at ESG matters and preparations for any increased required future disclosures, we may be perceived to be not acting responsibly in connection with these matters, which could negatively impact us. Moreover, the SEC has recently proposed, and may continue to propose, certain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or that harm our stock price. In addition, we currently do not report our environmental emissions, and lack of reporting could result in certain investors declining to invest in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 face serious consequences for violations.</w:t>
      </w:r>
    </w:p>
    <w:p>
      <w:pPr>
        <w:spacing w:after="0" w:line="9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authorities or government-affiliated hospitals, universities, and other organizations.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further expand our operations outside of the United States, we must dedicate additional resources to comply with numerous laws and regulations in each jurisdiction in which we plan to operate. The Foreign Corrupt Practices Act, or the FCPA, prohibits any U.S. individual or business from paying, offering, authorizing payment or offering of anything of value, directly or indirectly, to any foreign official, political party or candidate and other related parties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Data and Privacy</w:t>
      </w:r>
    </w:p>
    <w:p>
      <w:pPr>
        <w:spacing w:after="0" w:line="117"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internal information technology systems, or those used by our CROs, CMOs,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to our business, and other adverse consequences.</w:t>
      </w:r>
    </w:p>
    <w:p>
      <w:pPr>
        <w:spacing w:after="0" w:line="7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CROs, CMOs,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In particular, ransomware attacks, including those from organized criminal threat actors, nation-states and nation-state-supported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Some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products, if approved.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7"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Furthermore, future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companies into our information technology environment and security program.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security incident has occurred. Further, we may experience delays in developing and deploying remedial measures designed to address any such identified vulnerabilities.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without limitation, cloud-based infrastructure, encryption and authentication technology, employee email, and other functions. We also rely on third-party service providers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 including clinical trials.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cause us to incur significant expenses.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0"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data or applications, or inappropriate disclosure of personal, confidential or proprietary information, we could incur liability and the further development of any product candidates could be delayed. Applicable data privacy and security obligations may require us to notify relevant stakeholders of security incidents. Such disclosures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 and our ability to conduct clinical trials, which could delay the clinical development of our product candidates.</w:t>
      </w:r>
    </w:p>
    <w:p>
      <w:pPr>
        <w:spacing w:after="0" w:line="292"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data privacy and security laws, regulations and other obligations could lead to government enforcement actions (which could include civil or criminal penalties), private litigation, negative publicity, and/or other adverse consequences that could negatively affect our operating results and business.</w:t>
      </w:r>
    </w:p>
    <w:p>
      <w:pPr>
        <w:spacing w:after="0" w:line="65"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color w:val="auto"/>
        </w:rPr>
        <w:t>We and our partners may be subject to federal, state, and foreign data protection laws and regulations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laws and regulations that address privacy and data security). In the United States, numerous federal and state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the Health Insurance Portability and Accountability Act of 1996, or HIPAA. Depending on the facts and circumstances, we could be subject to penalties if we violate HIPAA.</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California enacted the California Consumer Privacy Act, or the CCPA, which creates new individual privacy rights for California consumers (as defined in the law), including the right to opt out of certain disclosures of their information, and places increased privacy and security obligations on entities handling certain personal data of consumers or households. The CCPA also creates a private right of action with statutory damages for certain data breaches, thereby potentially increasing risks associated with a data breach. As currently written, the CCPA may impact our business activities and exemplifies the vulnerability of our business to the evolving regulatory environment related to personal data and protected health information. Further, the California Privacy Rights Act, or the CPRA, recently entered into force in California, amending the CCPA. The changes introduced by the CPRA impose additional data protection obligations on covered businesses, including additional consumer rights processes, limitations on data uses, new audit requirements for higher risk data, and opt-outs for certain uses of sensitive data. The amendments ushered in by the CPRA also create a new California data protection agency authorized to issue substantive regulations and could result in increased privacy and information security enforcement. Additional compliance investment and potential business process changes may be required.</w:t>
      </w:r>
    </w:p>
    <w:p>
      <w:pPr>
        <w:spacing w:after="0" w:line="19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Some observers have noted that the CCPA could mark the beginning of a trend toward more stringent privacy legislation in the United States, which could increase our potential liability and adversely affect our business. New consumer privacy laws entered into force in Connecticut, Colorado, Virginia and Utah in 2023. In addition, a number of other states have proposed new privacy laws, some of which are similar to the above-discussed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Foreign data protection laws, including the European Union’s General Data Protection Regulation, or the EU GDPR, and the UK equivalent of the same, or UK GDPR, together with the EU GDPR, the GDPR, may also apply to our processing of health-related and other personal data regardless of where the processing in question is carried out.</w:t>
      </w:r>
    </w:p>
    <w:p>
      <w:pPr>
        <w:spacing w:after="0" w:line="67"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GDPR imposes stringent requirements for controllers and processors of personal data of individuals within the European Economic Area, or EEA, or the United Kingdom. The GDPR applies to any company established in the EEA or United Kingdom as well as to those outside the EEA or United Kingdom if they collect and use personal data in connection with the offering of goods or services to individuals in the EEA or United Kingdom or the monitoring of their behavior. The GDPR, together with national legislation, regulations and guidelines of the EEA Member States and the United Kingdom governing the processing of personal data,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United Kingdom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United Kingdom, and we will need to amend our processes and procedures to align with the new framework.</w:t>
      </w:r>
    </w:p>
    <w:p>
      <w:pPr>
        <w:spacing w:after="0" w:line="18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conduct our preclinical studies and clinical trials, as well as investigator initiated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7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rely and intend to rely in the future on third-party clinical investigators, CROs, and clinical data management organizations to conduct, supervise and monitor preclinical studies and clinical trials of our current or future product candidates. In addition, third parties are conducting and we expect will continue to conduct investigator initiated trials with our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have no experience as a company in filing and supporting the applications necessary to gain marketing approvals. 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p>
    <w:p>
      <w:pPr>
        <w:spacing w:after="0" w:line="180"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291"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spacing w:after="0" w:line="6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do not own or operate facilities for drug manufacturing, storage, distribution or quality testing. We currently rely, and expect to continue to rely, on third-party contract developers and manufacturers to manufacture bulk drug substances, drug products, raw materials, samples, components, and other materials for our product candidates. For example, under the WuXi Agreement, WuXi provides us certain with certain customized cell manufacturing, release and testing services for our KYV-101 product candidate; pursuant to the Oxford Agreement, we recently engaged Oxford to undertake lentiviral vector process development services, with the intention for Oxford to ultimately manufacture and supply to us lentiviral vectors for research and development purposes and for use in connection with our clinical trials; and under the ElevateBio Agreement, ElevateBio is undertaking process development services for the development of a low-cost, fully closed manufacturing process for our CAR T-cell product candidates.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Reliance on third-party manufacturers may expose us to different risks than if we were to manufacture product candidates ourselves. There can be no assurance that our preclinical and clinical development product supplies will not be limited, interrupted, terminated or will be of satisfactory quality or be available at acceptable prices. In addition, any replacement of our manufacturer could require significant effort and time because there may be a limited number of qualified replacements.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manufacturing process for our product candidates is subject to the FDA, EMA and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and, in certain cases, current good tissue practice, or cGTP, requirements. Securing marketing approval also requires the submission of information about the product manufacturing process to, and inspection of manufacturing facilities by, the FDA, EMA and foreign regulatory authorities. If our CMOs cannot successfully manufacture material that conforms to our specifications and the strict regulatory requirements of the FDA, EMA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In the event that any of our manufacturers fails to comply with such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These factors would increase our reliance on such manufacturer or require us to obtain a license from such manufacturer in order to enable us to manufacture, or to have another third party manufacture, our product candidates.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associated with the verification of a new manufacturer could negatively affect our ability to develop product candidates in a timely manner or within budget.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and cGTPs, or maintain a compliance status acceptable to the FDA, EMA or foreign regulatory authorities could adversely affect our business in a number of ways, including:</w:t>
      </w:r>
    </w:p>
    <w:p>
      <w:pPr>
        <w:spacing w:after="0" w:line="94"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preclinical studies or clinical trials of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existing or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 and</w:t>
      </w:r>
    </w:p>
    <w:p>
      <w:pPr>
        <w:spacing w:after="0" w:line="130"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False Claims Act, corporate integrity agreements, consent decrees, or withdrawal of product approval.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if approved, would be jeopardized.</w:t>
      </w:r>
    </w:p>
    <w:p>
      <w:pPr>
        <w:spacing w:after="0" w:line="280"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sole source and limited source suppliers for certain drug substances,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depend on sole source and limited source suppliers for certain drug substances, drug products, raw materials, samples, components, and other materials used in our product candidates. For example, WuXi is currently our sole provider of customized cell manufacturing, release and testing services for our KYV-101 product candidate. We do not currently have long-term supply contracts with all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any of the sole source and limited source suppliers upon whom we rely could stop producing our supplies, cease operations or be acquired by, or enter into exclusive arrangements with, our competitors.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spacing w:after="0" w:line="298"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some of which are located outside of the United States, are subject to additional risks that are beyond our control and that could harm our business, financial condition, results of operations and prospects.</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Currently, some of our suppliers are located outside of the United States. As a result of our global suppliers, we are subject to risks associated with doing business abroad, including:</w:t>
      </w:r>
    </w:p>
    <w:p>
      <w:pPr>
        <w:spacing w:after="0" w:line="67" w:lineRule="exact"/>
        <w:rPr>
          <w:sz w:val="20"/>
          <w:szCs w:val="20"/>
          <w:color w:val="auto"/>
        </w:rPr>
      </w:pPr>
    </w:p>
    <w:p>
      <w:pPr>
        <w:ind w:left="1080" w:right="1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labor disputes, and economic instability resulting in the disruption of trade from foreign countries in which our products are manufactured;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challenges and increased costs with enforcing and periodically auditing or reviewing our suppliers’ and manufacturers’ compliance with cGMPs or cGTPs or status acceptable to the FDA, EMA or foreign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trademark protection, in some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due to global, regional, or local public health crises or other emergencies or natural disasters;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countries where our manufacturers or suppliers are located.</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harm our business, financial condition, results of operations and prospects.</w:t>
      </w:r>
    </w:p>
    <w:p>
      <w:pPr>
        <w:spacing w:after="0" w:line="280"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collaborations or strategic alliances or enter into additional licensing arrangements in the future, which may be important to our business. If we are unable to enter into new collaborations, or if these or any of our current collaborations are not successful and we fail to realize the benefits of such collaborations or licensing arrangements, our business, results of operations and financial condition could be adversely affected.</w:t>
      </w:r>
    </w:p>
    <w:p>
      <w:pPr>
        <w:spacing w:after="0" w:line="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we deem appropriate, enter into additional partnerships in the future, including potentially with major biotechnology or pharmaceutical companies. We have limited capabilities for product development and do not yet have any capability for commercialization. Accordingly, we may continue to enter into collaborations with other companies in the future to provide us with important technologies and funding for our programs and technology. Any future collaborations that we enter into may not be successful. The success of our collaboration arrangements will depend heavily on the efforts and activities of our collaborators.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collaborations and any future collaborations we enter into may pose a number of risks, including the following:</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67"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seek to amend or modify the terms of any collaboration;</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future commercialization of any product candidate licensed to it by us;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future commercialization of the applicable product candidates.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under such collaboration. All of the risks relating to product development, regulatory approval and future commercialization described in this “Risk Factors” section and elsewhere in this prospectus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seeking appropriate partners for our product candidates, and the negotiation process is time-consuming and complex. In order for us to successfully partner with our product candidates, potential partners must view these product candidates as economically valuable in markets they determine to be attractive in light of the terms that we are seeking and other available products for licensing by other companies.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320" w:top="455" w:right="5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results of operations and financial condition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develop and you may not be able to resell your shares of common stock at or above the public offering price, if at all.</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Prior to this offering, no market for shares of our common stock existed. Our common stock has been approved for listing on the Nasdaq Global Select Market under the symbol “KYTX.” After the consummation of this offering, an active or liquid trading market for our common stock may never develop or be sustained following this offering. To the extent certain of our existing stockholders and their affiliated entities participate in this offering,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your shares, if at all. Moreover, the initial public offering price for our common stock was determined through negotiations with the underwriters, and may vary from the market price of our common stock following this offering. As a result of these and other factors, you may be unable to resell your shares of our common stock at or above the initial public offering price, at the time you wish to sell them, or at a price that you consider reasonable. The lack of an active market may also reduce the fair market value of your shares. Furthermore, an inactive market may also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stock price may be volatile, which could result in substantial losses for investors purchasing shares in this offering.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market price of our common stock is likely to be volatile and could fluctuate widely in response to many factors, including but not limited to:</w:t>
      </w:r>
    </w:p>
    <w:p>
      <w:pPr>
        <w:spacing w:after="0" w:line="142"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financial and capital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product candidates, including the results of clinical trials by us or our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that impact our competitive outlook;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developments with respect to our product candidates, or similar products or product candidates with which we compete;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 candidates, new products or new contracts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strategic transactions, including acquisitions, collaborations, licenses or similar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equities research analysts and whether our earnings (or losses) meet or exceed such estimates;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and receipt, or lack of receipt, of funding in support of conducting our business;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 or issuances by us of shares of our common stock in connection with strategic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 described in the section titled “Underwriting” section;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United States, including 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natural disasters or major catastrophic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section titled “Risk Factors.”</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When the market price of a stock has been volatile, as our stock price may be, holders of that stock have occasionally brought securities class action litigation claims against the company that issued the stock. If any of our stockholders were to bring a lawsuit of this type against us, even if the lawsuit were without merit, we could incur substantial costs defending the lawsuit. The lawsuit could also divert the time and attention of our management.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60"/>
          </w:cols>
          <w:pgMar w:left="320" w:top="455" w:right="5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as a result of this offering and may experience additional dilution in the future.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will suffer immediate and substantial dilution with respect to the common stock you purchase in this offering. Specifically, assuming that the underwriters do not exercise their option to purchase additional shares of common stock in this offering, you will incur immediate dilution of $13.14 per share. That number represents the difference between the initial public offering price of $22.00 per share and our pro forma net tangible book value per share as of September 30, 2023, after giving effect to (i) the automatic conversion of all outstanding shares of our convertible preferred stock into an aggregate of 25,171,265 shares of our common stock immediately prior to the closing of this offering and (ii) the filing and effectiveness of our amended and restated certificate of incorporation to be effective immediately prior to the closing of this offering.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further description of the dilution you will experience immediately after this offering, see the section titled “Dilution.”</w:t>
      </w:r>
    </w:p>
    <w:p>
      <w:pPr>
        <w:spacing w:after="0" w:line="329"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5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and annual fluctuations which may, in turn, cause the price of our common stock to fluctuate substantially. Our net loss and other operating results will be affected by numerous factors, including:</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preclinical studies and ongoing and future clinical trials, or the addition or termination of any such clinical trials;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payments we may make or receive under existing license and collaboration arrangements or the termination or modification thereof;</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strategic transactions, including acquisitions, collaborations, licenses or similar arrangements, and the timing and amount of payments we may make or receive in connection with such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departures of key personnel;</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and rising interest rates on our business and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and forecasts of market growth may not be accurate, and the actual market for our products may be smaller than we estimate, and even if the markets in which we compete achieve the forecasted growth, our business may not grow at similar rates, or at all.</w:t>
      </w:r>
    </w:p>
    <w:p>
      <w:pPr>
        <w:spacing w:after="0" w:line="6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spacing w:after="0" w:line="28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dividends on our capital stock in the foreseeable future, capital appreciation, if any, will be your sole source of gain.</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net proceeds of this offering and may not use these proceeds effectively, which could affect our results of operations and cause our stock price to decline.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have considerable discretion in the application of the net proceeds of this offering, including for any of the purposes described in the section of this prospectus titled “Use of Proceeds,”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would dilute our share capital.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equity securities. No prediction can be made as to the effect, if any, that future sales of common stock or other equity securities or the availability of common stock for future sales will have on the trading price of our common stock.</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our 2024 Equity Incentive Plan, or our 2024 Plan, our management is authorized to grant stock options to our employees, directors and consultants. Initially, the aggregate number of shares of our common stock that may be issued pursuant to stock awards under our 2024 Plan is</w:t>
      </w: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4,215,000 shares. Additionally, the number of shares of our common stock reserved for issuance under the 2024 Plan will automatically increase on January 1st of each year, beginning on January 1, 2025 and continuing through and including January 1, 2034, by 5% of the total number of shares of our capital stock outstanding on December 31 of the preceding calendar year, or a lesser number of shares determined by our board of directors. Unless our board of directors elects not to increase the number of shares available for future grant each year, our stockholders may experience additional dilution, which could cause our stock price to fall.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without stockholder approval.</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 effective immediately prior to the closing of this offering, will authorize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spacing w:after="0" w:line="291"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form joint ventures or make investments in other companies or technologies that could negatively affect our operating results, dilute our stockholders’ ownership, increase our debt or cause us to incur significant expense.</w:t>
      </w:r>
    </w:p>
    <w:p>
      <w:pPr>
        <w:spacing w:after="0" w:line="51" w:lineRule="exact"/>
        <w:rPr>
          <w:sz w:val="20"/>
          <w:szCs w:val="20"/>
          <w:color w:val="auto"/>
        </w:rPr>
      </w:pPr>
    </w:p>
    <w:p>
      <w:pPr>
        <w:jc w:val="both"/>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As part of our business strategy, we may pursue acquisitions of assets or licenses of assets, including preclinical, clinical or commercial stage products or product candidates, businesses, strategic alliances, joint ventures and collaborations, to expand our existing technologies and operations.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potential acquisition or strategic partnership may entail numerous risks, including:</w:t>
      </w:r>
    </w:p>
    <w:p>
      <w:pPr>
        <w:spacing w:after="0" w:line="13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contractual obligations or contingent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To finance such a transaction, we may issue dilutive securities, assume or incur debt obligations, incur large one-time expenses and acquire intangible assets that could result in significant amortization expense. If the price of our common stock is low or volatile, we may not be able to acquire other companies or fund a joint venture project using our stock as consideration. Alternatively, it may be necessary for us to raise additional funds for these activities through public or private financings or through the issuance of debt. Additional funds may not be available on terms that are favorable to the Company, or at all, and any debt financing may involve covenants limiting or restricting our ability to take certain actions.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4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Based on 26,322,525 shares of our common stock outstanding as of September 30, 2023, after giving effect to the automatic conversion of all outstanding shares of our convertible preferred stock into an aggregate of 25,171,265 shares of our common stock immediately prior to the closing of this offering, upon the closing of this offering, we will have outstanding a total of 40,822,525 shares of our common stock, assuming no exercise of the underwriters’ option to purchase additional shares and no exercise of outstanding options subsequent to such date. Of these shares, only the 14,500,000 shares of our common stock sold in this offering by us, plus any shares sold upon exercise of the underwriters’ option to purchase additional shares, will (unless they are purchased by one of our affiliates) be freely tradable, without restriction, in the public market immediately following this offering.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directors and executive officers and holders of substantially all of our outstanding securities have entered into lock-up agreements with the underwriters pursuant to which they may not, with certain exceptions, for a period of 180 days from the date of this prospectus, offer, sell or otherwise transfer or dispose of any of our securities, without the prior written consent of the representatives of the underwriters. However, the representatives may permit our officers, directors and other security holders who are subject to the lock-up agreements to sell shares prior to the expiration of the lock-up agreements at any time in their sole discretion. See the section titled “Underwriting.” Sales of these shares, or perceptions that they will be sold, could cause the trading price of our common stock to decline. After the lock-up agreements expire, an additional 26,319,350 shares of our common stock will be eligible for sale in the public market, of which 9,920,645 shares are held by directors, executive officers and other affiliates and will be subject to volume limitations under Rule 144 under the Securities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the 2,338,555 shares of our common stock that are subject to outstanding options under the 2019 Plan as of September 30, 2023 will become eligible for sale in the public market after this offering, to the extent permitted by the provisions of various vesting schedules, the lock-up agreements (and the exceptions thereto) and Rule 144 and Rule 701 under the Securities Act. If these additional shares of our common stock are sold, or if it is perceived that they will be sold, in the public market, the trading price of our common stock could decline.</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After this offering, the holders of 25,171,265 shares of our outstanding common stock, or approximately 61.7% of our total outstanding common stock based on 26,322,525 shares outstanding as of September 30, 2023 (after giving effect to the automatic conversion of all outstanding shares of our convertible preferred stock into an aggregate of 25,171,265 shares of our common stock immediately prior to the closing of this offering), will be entitled to rights with respect to the registration of their shares under the Securities Act, subject to the lock-up agreements described above. See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adversely affect the trading price of our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some members of our board of directors are representatives of our principal stockholders.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spacing w:after="0" w:line="284"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control matters subject to stockholder approval.</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26,421,368 shares of our common stock outstanding as of December 31, 2023, after giving effect to the automatic conversion of all shares of our convertible preferred stock outstanding as of December 31, 2023 into an aggregate of 25,171,265 shares of our common stock, prior to this offering, our executive officers, directors and holders of 5% or more of our capital stock beneficially owned approximately 76.5% of our voting stock and, upon the completion of this offering, that same group will beneficially own approximately 49.7% of our outstanding voting stock (after giving effect to the automatic conversion of all outstanding shares of our convertible preferred stock into an aggregate of 25,171,265 shares of our common stock immediately prior to the closing of this offering, and assuming no exercise of the underwriters’ option to purchase additional shares of our common stock and no exercise of outstanding options).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6"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our election of reduced reporting requirements applicable to emerging growth companies and smaller reporting companies may make our common stock less attractive to investors.</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the JOBS Act. For as long as we continue to be an emerging growth company, we may take advantage of exemptions from various reporting requirements that are applicable to other public companies that are not emerging growth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companies, including not being required to comply with the auditor attestation requirements of Section 404 of the Sarbanes-Oxley Act, or Section 404, reduced disclosure obligations regarding executive compensation in this prospectus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w:t>
      </w:r>
    </w:p>
    <w:p>
      <w:pPr>
        <w:spacing w:after="0" w:line="1"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$1.0 billion in non-convertible debt during any three-year period before that time, in which case we would no longer be an emerging growth company immediately.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following completion of this offering,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that may be beneficial to our stockholders, and may prevent attempts by our stockholders to replace or remove our current management.</w:t>
      </w:r>
    </w:p>
    <w:p>
      <w:pPr>
        <w:spacing w:after="0" w:line="5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that will be effective immediately prior to the closing of this offering contain provisions that could delay or prevent a 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7" w:lineRule="exact"/>
        <w:rPr>
          <w:sz w:val="20"/>
          <w:szCs w:val="20"/>
          <w:color w:val="auto"/>
        </w:rPr>
      </w:pPr>
    </w:p>
    <w:p>
      <w:pPr>
        <w:ind w:left="1080" w:right="4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staggered board of directors divided into three classes serving staggered three-year terms, such that not all members of our board of directors will be elected at one time;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fill vacancies on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our annual stockholder meetings;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amended and restated bylaws;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can remove directors only for cause and only upon the approval of not less than 66-2/3% of all outstanding shares of our capital stock;</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66-2/3% of all outstanding shares of our capital stock to amend our amended and restated bylaws and specific provisions of our amended and restated certificate of incorporation;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jurisdictions in which certain stockholder litigation may be brought.</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Section 203 of General Corporation Law of the State of Delaware, or the DGCL, may discourage, delay or prevent a change in control of our company. Section 203 imposes certain restrictions on mergers, business combinations and other transactions between us and holders of 15% or more of our common stock.</w:t>
      </w:r>
    </w:p>
    <w:p>
      <w:pPr>
        <w:spacing w:after="0" w:line="280"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to be effective immediately prior to the closing of this offering, to the fullest extent permitted by law, will provide that, unless we consent in writing to the selection of an alternative forum, the Court of Chancery of the State of Delaware (or another state court or the federal court located within the State of Delaware if the Court of Chancery does not have or declines to accept jurisdiction) shall be the sole and exclusive forum, in all cases subject to the court’s having jurisdiction over indispensable parties named as defendants, for: (i) any derivative action or proceeding brought on our behalf; (ii) any action asserting a breach of fiduciary duty owed to us or our stockholders by any director, officer or other employee; (iii) any action asserting a claim against us or any director, officer or other employee arising pursuant to the DGCL; (iv) any action to interpret, apply, enforce or determine the validity of our amended and restated certificate of incorporation or amended and restated bylaws; or</w:t>
      </w:r>
    </w:p>
    <w:p>
      <w:pPr>
        <w:spacing w:after="0" w:line="2" w:lineRule="exact"/>
        <w:rPr>
          <w:sz w:val="20"/>
          <w:szCs w:val="20"/>
          <w:color w:val="auto"/>
        </w:rPr>
      </w:pPr>
    </w:p>
    <w:p>
      <w:pPr>
        <w:ind w:left="120" w:right="140" w:hanging="4"/>
        <w:spacing w:after="0" w:line="253" w:lineRule="auto"/>
        <w:tabs>
          <w:tab w:leader="none" w:pos="3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asserting a claim that is governed by the internal affairs doctrine. In addition, our amended and restated certificate of incorporation will provide that the federal district courts of the United States will be the exclusive forum for resolving any complaint asserting a cause of action arising under the Securities Act but that the exclusive forum provision does not apply to claims brought to enforce a duty or liability created by the Exchange Act.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thereunder.</w:t>
      </w:r>
    </w:p>
    <w:p>
      <w:pPr>
        <w:spacing w:after="0" w:line="292"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prospectus, including statements regarding our future results of operations and financial position, business strategy, drug candidates, planned preclinical studies and clinical trials, results of preclinical studies, clinical trials, research and development costs, plans for manufacturing,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4"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clinical trials, and research programs for our product candidates;</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demonstrate, and the timing of, preclinical proof-of-concept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for our product candidates;</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our initial product candidates and to progress additional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certain diseases and conditions we intend to treat and the size of the market opportunity for our product candidates;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number of patients with certain diseases and conditions we intend to treat and the number of patients that we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regulatory standards with respect to our product candidates, if approved;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for which we may pursue;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therapeutic benefits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product candidates, research programs and technologies;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genome-editing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related to our competitors and our industry;</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ability to leverage the clinical, regulatory and manufacturing advancements to accelerate our clinical trials and regulatory approval of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and our ability to attract collaborators with development, regulatory, manufacturing or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sales strategy, manufacturing and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sales personnel, or to contract with a sales organization, if our product candidates are approved;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regulatory developments in the United States and foreign countries in which we may seek regulatory approval for our product candidates in the future;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or a smaller reporting company;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this offering, estimates of our expenses, capital requirements and needs for additional financing.</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caution you that the forward-looking statements highlighted above do not encompass all of the forward-looking statements made in this prospectus.</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prospectus titled “Risk Factors” and elsewhere in this prospectus. Moreover, we operate in a very competitive and challenging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independent third parties and by us.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the sale of shares of our common stock in this offering will be approximately $292.8 million, based upon the initial public offering price of $22.00 per share, after deducting underwriting discounts and commissions and estimated offering expenses payable by us. If the underwriters’ option to purchase additional shares is exercised in full, we estimate that the net proceeds to be received by us will be approximately $337.3 million, after deducting underwriting discounts and commissions and estimated offering expenses payable by us.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common stock and thereby enable access to the public equity markets for us and our stockholders.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currently intend to use the net proceeds to us from this offering, together with our existing cash and cash equivalents and available-for-sale marketable securities, as follows:</w:t>
      </w:r>
    </w:p>
    <w:p>
      <w:pPr>
        <w:spacing w:after="0" w:line="67" w:lineRule="exact"/>
        <w:rPr>
          <w:sz w:val="20"/>
          <w:szCs w:val="20"/>
          <w:color w:val="auto"/>
        </w:rPr>
      </w:pPr>
    </w:p>
    <w:p>
      <w:pPr>
        <w:ind w:left="1080" w:right="2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$180.0 million to advance clinical development of KYV-101, our lead product candidate, in two broad areas of autoimmune disease: rheumatology and neurology, including completion of enrollment for our KYSA-1 Phase 1 trial, continued enrollment for our KYSA-3 Phase 1/2 trial, and initiating enrollment for our KYSA-5, KYSA-6, and KYSA-7 clinical trials;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$30.0 million to advance KYV-201 through preclinical development and into clinical development;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fund expenses associated with our research and development and additional clinical development, and for general corporate purposes, working capital and capital expenditures.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also use a portion of the net proceeds to in-license, acquire, or invest in complementary businesses, technology platforms, products, services, technologies or other assets. However, we do not have any agreements or commitments to enter into any material acquisitions or investments at this time.</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This expected use of net proceeds from this offering represents our intentions based on our current plans and business conditions, which could change in the future as our plans and business conditions evolve. As a result, our management will have broad discretion over the uses of the net proceeds from this offering and investors will be relying on the judgement of our management regarding the application of the net proceeds from this offering.</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believe, based on our current operating plan, that the net proceeds from this offering, together with our existing cash, cash equivalents and available-for-sale marketable securities, will be sufficient to fund our operations into 2026. In particular, we expect that the net proceeds from this offering, together with our existing cash, cash equivalents and available-for-sale marketable securities, will allow us to fund the continued clinical development of KYV-101, our lead product candidate, in two broad areas of autoimmune disease: rheumatology and neurology, and to fund our advancement of KYV-201 through preclinical development and into clinical development. However, 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 We expect that we will require additional funds in order to fully accomplish the specified uses of the proceeds of this offering. We also may elect to raise additional capital opportunistically.</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progress of our research and development, the timing of patient enrollment and evolving regulatory requirements, the time and cost necessary to conduct our ongoing and planned preclinical studies and clinical trials, the results of our preclinical studies and clinical trials and other factors described in the section of this prospectus titled “Risk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Factors” in this prospectus, as well as the amount of cash used in our operations and any unforeseen cash needs. Therefore, our actual expenditures may differ materially from the estimates described above. We may also find it necessary or advisable to use the net proceeds for other purposes.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Pending the use of the proceeds from this offering as described above, we intend to invest the net proceeds from the offering that are not used as described above in available-for-sale, investment-grade, interest-bearing marketable securities. We cannot predict whether the proceeds invested will yield a favorable return. Our management will retain broad discretion in the application of the net proceeds we receive from this offering, and investors will be relying on the judgment of our management regarding the application of the net proceeds.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60"/>
          </w:cols>
          <w:pgMar w:left="320" w:top="455"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do not anticipate declaring or paying, in the foreseeable future, any cash dividends on our capital stock. We intend to retain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subject to applicable laws, after considering our financial condition, results of operations, capital requirements, business prospects and other factors our board of directors or such committee may deem relevant.</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addition, our ability to pay cash dividends on our capital stock in the future may be limited by the terms of any future debt or preferred securities we may issue or any credit facilities we may enter into.</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320" w:top="455" w:right="5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cash equivalents and available-for-sale marketable securities and capitalization as of September 30, 2023 as follows:</w:t>
      </w:r>
    </w:p>
    <w:p>
      <w:pPr>
        <w:spacing w:after="0" w:line="6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(1) the automatic conversion of all outstanding shares of our convertible preferred stock into an aggregate of 25,171,265 shares of our common stock immediately prior to the closing of this offering, and (2) the filing and effectiveness of our Certificate of Incorporation, which will be effective immediately prior to the closing of this offering;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(1) the pro forma items described immediately above, and (2) our issuance and sale of 14,500,000 shares of our common stock in this offering at the initial public offering price of $22.00 per share, after deducting underwriting discounts and commissions and estimated offering expenses payable by us.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20" w:type="dxa"/>
            <w:vAlign w:val="bottom"/>
            <w:vMerge w:val="restart"/>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gridSpan w:val="8"/>
          </w:tcPr>
          <w:p>
            <w:pPr>
              <w:jc w:val="center"/>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22,967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22,967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315,963</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54,307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54,307</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54,307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available-for-sale marketable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77,274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77,274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370,270</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stock, $0.00001 par value per share; 8,803,542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 8,803,542 shares issued and outstanding, actual; no shares authorized,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or outstanding, pro forma and pro forma as adjusted</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7,696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A-2 redeemable convertible preferred stock, $0.00001 par value per share; 24,552,546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24,552,546 shares issued and outstanding, actual; no shares authorized,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or outstanding, pro forma and pro forma as adjusted</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21,490</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stock, $0.00001 par value per share;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81,200,909 shares authorized, 81,200,909 shares issued and outstanding, actual; no shares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issued or outstanding, pro forma and pro forma as adjusted</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151,388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per share; no shares authorized, issued and outstanding,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 10,000,000 shares authorized, pro forma and pro forma as adjusted; no shares issued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pro forma and pro forma as adjusted</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per share; 133,492,016 shares authorized, 1,151,260 shares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actual; 490,000,000 shares authorized pro forma and pro forma as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26,322,525 shares issued and outstanding, pro forma, and 40,822,525 shares issued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pro forma as adjusted</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184,139</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476,979</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(115,376)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(115,376)</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(115,376)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(111,806)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68,768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361,608</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68,768</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cash and cash equivalents and total cash, cash equivalents and available-for-sale marketable securities each also reflect $0.2 million of offering expenses paid as of September 30, 2023.</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information in conjunction with our financial statements and the related notes included elsewhere in this prospectus, the section of this prospectus titled “Management’s Discussion and Analysis of Financial Condition and Results of Operations” and other financial information contained in this prospectus.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table set forth above is based on the number of shares of our common stock outstanding as of September 30, 2023 (which includes 381,822 shares underlying unvested restricted stock awards subject to a repurchase option by us), after giving effect to the automatic conversion of all outstanding shares of our convertible preferred stock into an aggregate of 25,171,265 shares of our common stock immediately prior to the closing of this offering, and excludes:</w:t>
      </w:r>
    </w:p>
    <w:p>
      <w:pPr>
        <w:spacing w:after="0" w:line="85" w:lineRule="exact"/>
        <w:rPr>
          <w:sz w:val="20"/>
          <w:szCs w:val="20"/>
          <w:color w:val="auto"/>
        </w:rPr>
      </w:pPr>
    </w:p>
    <w:p>
      <w:pPr>
        <w:ind w:left="1080" w:right="1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2,338,555 shares of our common stock issuable upon the exercise of stock options outstanding as of September 30, 2023, under the 2019 Plan at a weighted average exercise price of $3.56 per share;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1,762,161 shares of our common stock issuable upon the exercise of stock options outstanding and granted between October 1, 2023 and December 29, 2023 under the 2019 Plan, at a weighted average exercise price of $4.94 per share;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670,633 shares of our common stock reserved for future issuance under the 2019 Plan as of September 30, 2023, which shares ceased to be available for issuance at the time the 2024 Plan became effective;</w:t>
      </w:r>
    </w:p>
    <w:p>
      <w:pPr>
        <w:spacing w:after="0" w:line="6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4,215,000 shares of our common stock reserved for future issuance under our 2024 Plan (which includes the grant of stock options to purchase 239,914 shares of our common stock that were granted contingent and effective upon the date on which the registration statement of which this prospectus forms a part was declared effective by the SEC, with an exercise price per share equal to $22.00, the initial public offering price in this offering), which became effective on the date immediately preceding the date upon which the registration statement of which this prospectus forms a part was declared effective by the SEC, as well as any automatic increases in the number of shares of our common stock reserved for future issuance under the 2024 Plan and any shares underlying outstanding stock awards granted under the 2019 Plan that expire or are repurchased, forfeited, cancelled or withheld, as more fully described in the section of this prospectus titled “Executive Compensation — Equity Benefit Plans”; and</w:t>
      </w:r>
    </w:p>
    <w:p>
      <w:pPr>
        <w:spacing w:after="0" w:line="9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422,000 shares of our common stock reserved for future issuance under the ESPP, which became effective on the date immediately preceding the date upon which the registration statement of which this prospectus forms a part was declared effective by the SEC, as well as any automatic increases in the number of shares of our common stock reserved for future issuance under the ESPP, as more fully described in the section of this prospectus titled “Executive Compensation — Equity Benefit Plans”.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initial public offering price per share of our common stock in this offering and the pro forma as adjusted net tangible book value per share of our common stock immediately after this offering.</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 of September 30, 2023, we had a historical net tangible book deficit of $(112.7) million, or $(97.88) per share of our common stock. Our net tangible book value per share represents our total tangible assets less our total liabilities, all divided by the number of shares of our common stock outstanding on such date. Our pro forma net tangible book value as of September 30, 2023 was $67.9 million, or $2.58 per share. Pro forma net tangible book value per share represents the amount of our net tangible book value divided by the number of shares of our common stock outstanding as of September 30, 2023, after giving effect to (1) the automatic conversion of all outstanding shares of our convertible preferred stock into an aggregate of 25,171,265 shares of our common stock immediately prior to the closing of this offering, and (2) the filing and effectiveness of our Certificate of Incorporation, which will be effective immediately prior to the closing of this offering.</w:t>
      </w:r>
    </w:p>
    <w:p>
      <w:pPr>
        <w:spacing w:after="0" w:line="189"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After giving further effect to the sale of 14,500,000 shares of our common stock in this offering at the initial public offering price of $22.00 per share, after deducting underwriting discounts and commissions and estimated offering expenses payable by us, and after adjusting for $0.9 million of offering expenses recognized as other non-current assets, our pro forma as adjusted net tangible book value as of September 30, 2023 would have been approximately $361.6 million, or approximately $8.86 per share. This represents an immediate increase in pro forma net tangible book value of $100.46 per share to existing stockholders and an immediate dilution in pro forma net tangible book value of $13.14 per share to new investors purchasing shares of our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per share dilution: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3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September 30, 2023</w:t>
            </w:r>
          </w:p>
        </w:tc>
        <w:tc>
          <w:tcPr>
            <w:tcW w:w="2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(97.88)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2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100.46</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2023</w:t>
            </w:r>
          </w:p>
        </w:tc>
        <w:tc>
          <w:tcPr>
            <w:tcW w:w="16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this offering</w:t>
            </w:r>
          </w:p>
        </w:tc>
        <w:tc>
          <w:tcPr>
            <w:tcW w:w="2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immediately after this offering</w:t>
            </w:r>
          </w:p>
        </w:tc>
        <w:tc>
          <w:tcPr>
            <w:tcW w:w="16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60" w:type="dxa"/>
            <w:vAlign w:val="bottom"/>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common stock in this offering</w:t>
            </w:r>
          </w:p>
        </w:tc>
        <w:tc>
          <w:tcPr>
            <w:tcW w:w="3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13.14</w:t>
            </w:r>
          </w:p>
        </w:tc>
      </w:tr>
      <w:tr>
        <w:trPr>
          <w:trHeight w:val="20"/>
        </w:trPr>
        <w:tc>
          <w:tcPr>
            <w:tcW w:w="7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If the underwriters’ option to purchase 2,175,000 additional shares is exercised in full, pro forma as adjusted net tangible book value after this offering would be approximately $9.44 per share, the increase in pro forma net tangible book value per share to existing stockholders would be $0.58 per share and the dilution per share to new investors would be $12.56 per share, in each case after deducting underwriting discounts and commissions and estimated offering expenses payable by us.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September 30, 2023, the differences between the number of shares of our common stock purchased from us, the total consideration paid and the average price per share paid by existing stockholders and to be paid by the new investors purchasing shares of our common stock in this offering, at the initial public offering price of common stock of $22.00 per share, before deducting underwriting discounts and commissions and estimated offering expenses payable by 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00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36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84"/>
        </w:trPr>
        <w:tc>
          <w:tcPr>
            <w:tcW w:w="4800" w:type="dxa"/>
            <w:vAlign w:val="bottom"/>
          </w:tcPr>
          <w:p>
            <w:pPr>
              <w:spacing w:after="0"/>
              <w:rPr>
                <w:sz w:val="6"/>
                <w:szCs w:val="6"/>
                <w:color w:val="auto"/>
              </w:rPr>
            </w:pPr>
          </w:p>
        </w:tc>
        <w:tc>
          <w:tcPr>
            <w:tcW w:w="200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140" w:type="dxa"/>
            <w:vAlign w:val="bottom"/>
            <w:tcBorders>
              <w:bottom w:val="single" w:sz="8" w:color="auto"/>
            </w:tcBorders>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50"/>
        </w:trPr>
        <w:tc>
          <w:tcPr>
            <w:tcW w:w="4800" w:type="dxa"/>
            <w:vAlign w:val="bottom"/>
          </w:tcPr>
          <w:p>
            <w:pPr>
              <w:spacing w:after="0"/>
              <w:rPr>
                <w:sz w:val="4"/>
                <w:szCs w:val="4"/>
                <w:color w:val="auto"/>
              </w:rPr>
            </w:pPr>
          </w:p>
        </w:tc>
        <w:tc>
          <w:tcPr>
            <w:tcW w:w="86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vMerge w:val="restart"/>
          </w:tcPr>
          <w:p>
            <w:pPr>
              <w:spacing w:after="0"/>
              <w:rPr>
                <w:sz w:val="4"/>
                <w:szCs w:val="4"/>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36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vMerge w:val="restart"/>
          </w:tcPr>
          <w:p>
            <w:pPr>
              <w:spacing w:after="0"/>
              <w:rPr>
                <w:sz w:val="4"/>
                <w:szCs w:val="4"/>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580" w:type="dxa"/>
            <w:vAlign w:val="bottom"/>
            <w:vMerge w:val="restart"/>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8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 before this offering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26,322,525</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$180,547,296</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 purchasing shares in this offering</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14,500,000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319,000,000</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40,822,525</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499,547,296</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foregoing tables and calculations are based on the number of shares of our common stock outstanding as of September 30, 2023 (which includes 381,822 shares underlying unvested restricted stock awards subject to a repurchase option by us), after giving effect to the automatic conversion of all outstanding shares of our convertible preferred stock into an aggregate of 25,171,265 shares of our common stock immediately prior to the closing of this offering, and exclude:</w:t>
      </w:r>
    </w:p>
    <w:p>
      <w:pPr>
        <w:spacing w:after="0" w:line="85" w:lineRule="exact"/>
        <w:rPr>
          <w:sz w:val="20"/>
          <w:szCs w:val="20"/>
          <w:color w:val="auto"/>
        </w:rPr>
      </w:pPr>
    </w:p>
    <w:p>
      <w:pPr>
        <w:ind w:left="1080" w:right="2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2,338,555 shares of our common stock issuable upon the exercise of stock options outstanding as of September 30, 2023 under the 2019 Plan at a weighted average exercise price of $3.56 per share;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1,762,161 shares of our common stock issuable upon the exercise of stock options outstanding and granted between October 1, 2023 and December 29, 2023 under the 2019 Plan, at a weighted average exercise price of $4.94 per share;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670,533 shares of our common stock reserved for future issuance under the 2019 Plan as of September 30, 2023, which shares ceased to be available for issuance at the time the 2024 Plan became effective;</w:t>
      </w:r>
    </w:p>
    <w:p>
      <w:pPr>
        <w:spacing w:after="0" w:line="67"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4,215,000 shares of our common stock reserved for future issuance under our 2024 Plan (which includes the grant of stock options to purchase 239,914 shares of our common stock that were granted contingent and effective upon the date on which the registration statement of which this prospectus forms a part was declared effective by the SEC, with an exercise price per share equal to $22.00, the initial public offering price in this offering), which became effective on the date immediately preceding the date upon which the registration statement of which this prospectus forms a part was declared effective by the SEC, as well as any automatic increases in the number of shares of our common stock reserved for future issuance under the 2024 Plan and any shares underlying outstanding stock awards granted under the 2019 Plan that expire or are repurchased, forfeited, cancelled or withheld, as more fully described in the section of this prospectus titled “Executive Compensation — Equity Benefit Plans”; and</w:t>
      </w:r>
    </w:p>
    <w:p>
      <w:pPr>
        <w:spacing w:after="0" w:line="9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422,000 shares of our common stock reserved for future issuance under the ESPP, which became effective on the date immediately preceding the date upon which the registration statement of which this prospectus forms a part was declared effective by the SEC, as well as any automatic increases in the number of shares of our common stock reserved for future issuance under the ESPP, as more fully described in the section of this prospectus titled “Executive Compensation — Equity Benefit Plans”.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the extent any of the outstanding options are exercised or new options or other securities are issued under our equity incentive plans, you will experience further dilution as a new investor in this offering. In addition, we may choose to raise additional capital due to market conditions or strategic considerations even if we believe we have sufficient funds for our current or future operating plans. Furthermore, we may choose to issue common stock as part or all of the consideration in acquisitions as part of our planned growth strategy. To the extent that we raise additional capital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financial statements and related notes included elsewhere in this prospectus. This discussion and other parts of this prospectus contain forward-looking statements that involve risk, assumptions and uncertainties, such as statements of our plans, objectives, expectations, intentions, forecasts and projections.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section titled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patient-centered, clinical-stage biopharmaceutical company focused on developing cell therapies for patients suffering from autoimmune diseases. Our goal is to bring disease-modifying therapeutic benefits to patients suffering from autoimmune diseases through our patient-centered approach, our broad platform, our insights into treating immune disorders and the learnings from successful application of cell therapy in other areas of medicine. Our cell therapy approach to the treatment of autoimmune diseases is supported by the scientific publication of multiple autoimmune case studies using CD19 CAR T-cell treatment as well as early clinical data from our ongoing trials illustrating the disease-modifying potential of these therapies. This validation provides us with a clear path to continue advancing our lead product candidate, KYV-101, through clinical development across two broad areas of autoimmune disease: rheumatology and neurology.</w:t>
      </w:r>
    </w:p>
    <w:p>
      <w:pPr>
        <w:spacing w:after="0" w:line="189"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Since our inception in June 2018, we have devoted substantially all of our resources to performing research and development, enabling manufacturing activities in support of our product development efforts, hiring personnel, acquiring and developing our technology and product candidates, performing business planning, developing and establishing our intellectual property portfolio, raising capital and providing general and administrative support for these activities. We do not have any products approved for sale and have not generated any revenue from product sales.</w:t>
      </w:r>
    </w:p>
    <w:p>
      <w:pPr>
        <w:spacing w:after="0" w:line="164"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We have incurred significant losses and negative cash flows from operations since our inception. We have funded our operations primarily from sales of our redeemable convertible preferred stock, issuances of convertible notes and revenue from our collaboration agreement with Gilead Sciences, Inc., or Gilead, which terminated effective as of January 22, 2024. Our net losses were $26.4 million and $28.9 million for the years ended December 31, 2021 and 2022, respectively. Our net losses were $20.4 million and $39.7 million for the nine months ended September 30, 2022 and 2023, respectively. As of September 30, 2023, we had an accumulated deficit of $115.4 million. Management has determined that our cash and cash equivalents and available-for-sale marketable securities of $77.3 million as of September 30, 2023 will not be sufficient to fund our planned operations for at least one year from the issuance date of the unaudited condensed financial statements included elsewhere in this prospectus, which raises substantial doubt as to our ability to continue as a going concern. Our forecast of cash resources and planned operations involves risks and uncertainties, and the actual amount of expenses could vary materially and adversely as a result of a number of factors. Additional funds will be necessary to maintain current operations and to continue our research and development activities. We plan to monitor expenses and raise additional capital through a combination of public and private equity and debt financings, strategic alliances and licensing arrangements.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financial condition and results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and planned activities, as we:</w:t>
      </w:r>
    </w:p>
    <w:p>
      <w:pPr>
        <w:spacing w:after="0" w:line="131" w:lineRule="exact"/>
        <w:rPr>
          <w:sz w:val="20"/>
          <w:szCs w:val="20"/>
          <w:color w:val="auto"/>
        </w:rPr>
      </w:pPr>
    </w:p>
    <w:p>
      <w:pPr>
        <w:ind w:left="1080" w:right="2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development of our product candidates, including KYV-101 in multiple clinical trials in parallel and KYV-201 into the clinic;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additional indications for our existing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manufacturing of clinical supply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discover, validate and develop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 for which we may obtain marketing approval and related commercial manufacturing build-out;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portfolio of intellectual property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rely on contract manufacturing organizations, or CMOs, to produce our drug candidates in accordance with the U.S. Food and Drug Administration’s, or the FDA’s, current Good Manufacturing Practices regulations for use in our clinical studies. In March 2022, we entered into a master services agreement with WuXi ATU Advanced Therapies, Inc., or WuXi ATU. WuXi ATU’s facility in Philadelphia, Pennsylvania, provides us with certain customized cell manufacturing, release and testing services for our KYV-101 product candidate. Pursuant to our Licence and Supply Agreement with Oxford Biomedica (UK) Limited, or Oxford, dated September 2023, we recently engaged Oxford to undertake lentiviral vector process development services, with the intention for Oxford to ultimately manufacture and supply to us lentiviral vectors for research and development purposes and for use in connection with our clinical trials. In July 2023, we entered into a Development and Manufacturing Services Agreement, with ElevateBio Base Camp, Inc., or ElevateBio, pursuant to which ElevateBio is undertaking process development services for the development of a low-cost, fully closed manufacturing process for our CAR T-cell product candidates.</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if at all.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60"/>
          </w:cols>
          <w:pgMar w:left="320" w:top="455"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Macroeconomic Trends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may be affected by worldwide economic conditions and challenges, such as the effects of the ongoing geopolitical conflicts in Ukraine, the Israel-Hamas war, tensions in United States-China relations, disruptions in the banking industry and inflationary trends. The fiscal years 2022 and 2023 were marked by significant market uncertainty and increasing inflationary pressures. These market dynamics continue into 2024, and these and similar adverse market conditions may negatively impact our business, financial position and results of operations. For further discussion of the potential impacts of macroeconomic events on us, refer to the section titled “Risk Factors” included elsewhere in this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Agreements with the National Institutes of Health</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May 2021, we entered into two patent license agreements, or the NIH Agreements, with the National Institutes of Health, or the NIH, pursuant to which we obtained exclusive, worldwide licenses to certain patents to use a novel, fully human anti-CD19 CAR in our autologous and allogeneic CAR T-cell products for the treatment of patients with autoimmune disease. We paid 50% of the upfront consideration of $3.3 million for acquired licenses in July 2021 and the remaining 50% in May 2022 in accordance with the terms of the NIH Agreements.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Commencing in January 2023 and subsequently on January 1 of each calendar year thereafter until the NIH Agreements terminate, we are required to make minimum annual royalty payments of $0.2 million, which, commencing January 1, 2024, may be credited against any earned royalties due based on a low single-digit percentage of net sales made in a respective year. In addition, benchmark royalties following completion of certain regulatory- and clinical-related benchmarks are due to the NIH, with the minimum cumulative royalty due for the first product reaching FDA approval or foreign-equivalent approval totaling approximately $5.7 million for the autologous patent license agreement and approximately $1.7 million for the allogeneic patent license agreement. Additional benchmark royalties would be payable for a subsequent indication under each NIH Agreement. If we enter into a sublicensing agreement, we are required to pay the NIH a sublicense royalty as a percentage of the fair market value of any consideration received for each sublicense granted. The sublicensing percentage starts at a high teens to low twenties percentage if clinical trials for the product candidate have not yet begun and decreases to a mid-single-digit percentage if the product candidate receives FDA approval or foreign-equivalent approval.</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terminated sooner, the NIH Agreements remain in effect until the last licensed patent rights granted pursuant to the respective agreement expire.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accounted for the acquisition of the licenses, including patent rights and know-how, as an asset acquisition. As the acquired technology did not have an alternative use for accounting purposes, we recorded the consideration of $3.3 million as a research and development expense in the statements of operations and comprehensive loss for the year ended December 31, 2021. We recognized $0.2 million as research and development expense related to minimum annual royalty payments for the nine months ended September 30, 2023. No benchmark royalties were probable or payable as of December 31, 2022 and September 30, 2023.</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Intellia License and Collaboration Agreement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December 2021, we entered into a License and Collaboration Agreement, or the Intellia Agreement, with Intellia Therapeutics, Inc., or Intellia, to research and develop an allogeneic CD19-directed CAR cell therapy product, or the CRISPR Product, suitable for validation through pre-clinical and clinical proof-of-concept clinical trials, including the performance of activities as agreed in the collaboration plan. Pursuant to the Intellia Agreement, Intellia granted us an exclusive, worldwide, sublicensable in multiple tiers, royalty bearing license under certain of Intellia’s intellectual property to research, develop, sell and otherwise exploit the CRISPR Product. We are performing the majority of the work under the collaboration plan.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a consideration for the licenses granted to us pursuant to the Intellia Agreement, we issued to Intellia 3,739,515 shares of our Series B Preferred Stock at a price of $1.8719 per share, which was the price paid by other investors in our Series B Preferred Stock financing, for consideration of $7.0 million. Intellia also purchased 1,602,649 shares of Series B Preferred Stock at a price of $1.8719 per share under the Series B Preferred Stock Purchase Agreement in cash for total proceeds to us of $3.0 million. We are also obligated to make aggregate milestone payments to Intellia of up to $64.5 million upon the achievement of specified development and regulatory milestones and are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Intellia Agreement, Intellia owns rights, title and interests in and to any intellectual property developed in the course of performance under the Intellia Agreement that is not specifically directed to the CRISPR Product. We granted to Intellia certain non-exclusive, royalty-free, fully paid-up, worldwide licenses under our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granted Intellia an exclusive option, or the Intellia Option, to enter into a co-development and co-commercialization agreement with us for the CRISPR Product, or the Co-Co Agreement, for a fee payable to us. If Intellia exercises the Intellia Option, we and Intellia would share equally the regulatory and clinical development expenses associated with obtaining approval of the CRISPR Product in the United States and would also share equally all net profits and losses from commercialization of the CRISPR Product in the United States. If Intellia exercises the Intellia Option, no milestone payments will be due and payable from that time forward and we will only pay royalties on sales outside of the United States. In addition, upon exercise of the Intellia Option, following regulatory approval of the CRISPR Product, Intellia will have exclusive commercialization rights for the CRISPR Product for U.S. administration, subject to our rights to co-promote the CRISPR Product in the United States, and we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we participate in legal action or proceeding challenging the validity or enforceability of Intellia’s patents, or by the execution of the Co-Co Agreement. We may terminate the Intellia Agreement in its entirety, or on a country-by-country basis, by providing a written notice after the expiration or termination of the Intellia Option. Following the expiration of the term for a given country, the licenses granted to us in such country will automatically become fully paid-up, perpetual, irrevocable and royalty-free licenses.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accounted for the acquisition of the exclusive license, including patent rights and know-how, as an asset acquisition. As the acquired technology did not have an alternative use for accounting purposes, we recorded the consideration of $7.2 million, including $0.2 million in transaction costs, as a research and development expense in the statements of operations and comprehensive loss for the year ended December 31, 2021. No milestone payments were probable or payable as of December 31, 2022 and September 30, 2023.</w:t>
      </w:r>
    </w:p>
    <w:p>
      <w:pPr>
        <w:spacing w:after="0" w:line="18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As of each period ended December 31, 2021 and 2022, Intellia owned more than 5% and less than 10% of our outstanding equity. As of September 30, 2023, Intellia owned less than 5% of our outstanding equity.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January 2020, we entered into a Collaboration, Option and License Agreement, or the Gilead Agreement, with Gilead. Simultaneously with the entry into the Gilead Agreement, we entered into (i) a License Agreement, or the Kite Agreement, with Kite Pharma, Inc., or Kite, an affiliate of Gilead, and (ii) a stock purchase agreement, pursuant to which we issued to Gilead an aggregate of 6,890,744 shares of our Series A-2 Preferred Stock, of which 4,042,066 shares were issued as consideration under the Kite Agreement.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Pursuant to the Gilead Agreement, we and Gilead were to collaborate to develop potential cell-based therapy products using the SynNotch Technology and the SynNotch intellectual property related thereto, controlled by Gilead through Kite, for the treatment, diagnosis or prevention of autoimmune, inflammatory, or allogeneic stem cell transplant inflammatory diseases (excluding post-transplant infectious diseases), subject to certain exceptions. The Gilead Agreement initially involved the research and development of cell-based products for the treatment, diagnosis or prevention of two indications under two research programs and non-exclusive research licenses, specifically, Crohn’s disease, or Program A, and Ulcerative colitis, or Program B. Upon execution of the Gilead Agreement, Gilead paid us a one-time, non-refundable and non-creditable payment of $17.5 million.</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Pursuant to the Gilead Agreement, we also granted Gilead, on a research program-by-program basis, an exclusive option, exercisable at any time during the Option Period for such program, to obtain an exclusive license under such program’s intellectual property to develop, manufacture, and commercialize optioned products belonging to such program for a specified fee and on the terms and conditions set out in the Gilead Agreement. For purposes of the foregoing, an Option Period meant, on a program-by-program basis, the period commencing on the date of execution of the Gilead Agreement and ending upon the earlier of (i) the expiration of the review period for such program and (ii) the ten-year anniversary of the date of execution of the Gilead Agreement.</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November 30, 2022, after the completion of research activities under Program A and Program B, Gilead provided us with notice that Program A and Program B were terminated. There are currently no other active programs under the Gilead Agreement.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October 24, 2023, after agreement by both parties that the Gilead Agreement had no active programs, Gilead provided us with 90 days’ written notice to terminate the Gilead Agreement, and such termination became effective as of January 22, 2024.</w:t>
      </w:r>
    </w:p>
    <w:p>
      <w:pPr>
        <w:spacing w:after="0" w:line="162"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We concluded that the Gilead Agreement was in the scope of revenue recognition guidance. We estimated the transaction price as $17.5 million, which was allocated to two performance obligations, Program A and Program B, based on the relative fair value of each program. Other milestone payments were constrained and not included in the transaction price as they were considered not probable as of December 31, 2021 and 2022. We recognized collaboration revenue based on the measure of progress using an estimated cost-based input method. Deferred revenue as of December 31, 2020 was $12.7 million, of which $5.7 million was recognized as collaboration revenue during the year ended December 31, 2021. Deferred revenue as of December 31, 2021 was $7.0 million, which was fully recognized as collaboration revenue during the year ended December 31, 2022. For the nine months ended September 30, 2022 and 2023, we recognized $6.7 million and zero as collaboration revenue, respectively, under the Gilead Agreement.</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each period ended December 31, 2021, December 31, 2022 and September 30, 2023, Gilead owned more than 10% and less than 15% of our outstanding equity.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Kite License Agreement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Gilead Agreement, we entered into the Kite Agreement. Pursuant to the Kite Agreement, Kite granted to us a ten-year, co-exclusive license for the SynNotch technology primarily used in our own internal research and development programs for the treatment, diagnosis or prevention of autoimmune, inflammatory or allogeneic stem cell transplant inflammatory diseases (excluding post-transplant infectious diseases). Upon expiration of the ten-year co-exclusive license term, the license will become a non-exclusive license through expiration of the related patents.</w:t>
      </w:r>
    </w:p>
    <w:p>
      <w:pPr>
        <w:spacing w:after="0" w:line="180"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Kite had licensed certain of the SynNotch technology included in the Kite Agreement pursuant to that certain Amended and Restated Exclusive License Agreement, between The Regents of the University of California and Kite (as successor to Cell Design Labs, Inc.), or the UCSF License Agreement. We are responsible for all costs and payments arising under the UCSF License Agreement and as a result of activities under the Kite Agreement, including earned royalties based on a low single-digit percentage of net sales, milestone payments in an aggregate amount of up to</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$10.8 million and accrued interest payables. Pursuant to the Kite Agreement, we are also obligated to pay mid-teen- and mid-single-digit percentages of annual maintenance fees, minimum annual royalties and patent prosecution costs payable under the UCSF License Agreement during the co-exclusive term and non-exclusive term, respectively. We were also obligated to pay a $6.3 million sublicensing fee under the UCSF License Agreement, which we agreed to offset with future milestone payments payable by Gilead under the Gilead Agreement.</w:t>
      </w:r>
    </w:p>
    <w:p>
      <w:pPr>
        <w:spacing w:after="0" w:line="189"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Unless terminated earlier, the Kite Agreement will expire upon the expiration of all licensed patents and Kite improvement patents therein. We have the right to terminate the Kite Agreement at will, in our sole discretion, in its entirety upon 90 days’ written notice to Kite. In addition, either party may terminate the Kite Agreement for uncured material breach by the other party, or upon the occurrence of insolvency-related events of the other party.</w:t>
      </w:r>
    </w:p>
    <w:p>
      <w:pPr>
        <w:spacing w:after="0" w:line="15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 consideration for the license, we issued to Gilead an aggregate of 4,042,066 shares of our Series A-2 Preferred Stock at a price per share of $0.8776, which was the purchase price paid by other investors in the Series A-2 Preferred Stock financing, for a total of $3.5 million.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acquisition of the co-exclusive license under the Kite Agreement, including patent rights and know-how, was accounted for as an asset acquisition. As the acquired technology did not have an alternative use for accounting purposes, the consideration of $3.5 million was recorded as a research and development expense in the statements of operations and comprehensive loss for the year ended December 31, 2020. The sublicensing fee payable of $6.3 million was recognized as research and development expenses in the statement of operations and comprehensive loss for the year ended December 31, 2020.</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2022 and September 30, 2023, we recognized the total sublicensing fee of $6.3 million as current accrued license expense – related party, of which $2.5 million became payable as a result of the qualified financing. We expect to pay such amount of $2.5 million by mid-2024. The remaining $3.8 million was available to be offset against future milestones payable by Gilead under the Gilead Agreement; however, due to the termination of the Gilead Agreement, there are no future milestones payable to offset the sublicensing fee, and the payment schedule for the remaining $3.8 million of the sublicensing fee has not been agreed to by us and Gilead.</w:t>
      </w:r>
    </w:p>
    <w:p>
      <w:pPr>
        <w:spacing w:after="0" w:line="183"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We only paid minimal costs related to annual maintenance fees, patent prosecutions costs and minimal annual royalties for the years ended December 31, 2021 and 2022 and for the nine months ended September 30, 2023 under the Kite Agreement. No milestone payments were due or payable under the Kite Agreement as of December 31, 2022 and September 30,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 – Related Party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not had any product candidates approved for commercialization, we have not generated any revenue from product sales and we do not expect to generate any revenue from the sale of products for the foreseeable future. Our ability to generate product revenues will depend on the successful development and eventual commercialization of any product candidates that we identify. If we fail to complete the development of any future product candidates in a timely manner or fail to obtain regulatory approval for such product candidates, our ability to generate future revenue and our results of operations and financial position would be materially adversely affected.</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To date, all of our revenue consists of collaboration revenue earned under the Gilead Agreement. This agreement included the following types of promised goods or services: (i) grants of licenses, (ii) performance of research and development services and (iii) participation in a joint steering committee. Our collaboration revenue under the Gilead Agreement was $5.7 million and $7.0 million for the years ended December 31, 2021 and 2022, respectively. For the nine months ended September 30, 2022 and 2023, our collaboration revenue under the Gilead Agreement was $6.7 million and zero, respectively. No collaboration revenue was recognized after November 2022, when the current programs under the Gilead Agreement were terminated.</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related to our collaboration agreements, refer to Note 2 in our audited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largest component of our total operating expenses since inception has been research and development activities, including the preclinical and clinical development of our product candidates. Research and development expenses consist primarily of compensation and benefits for research and development employees, including stock-based compensation; expenses incurred under agreements with clinical research organizations, or CROs, and investigative sites that conduct preclinical and clinical studies; costs of acquiring and manufacturing clinical study materials and other supplies; payments under licensing and research and development agreements; other outside services and consulting costs; and facilities, information technology and overhead expenses. Research and development costs are expensed as incurred.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External research and development costs include:</w:t>
      </w:r>
    </w:p>
    <w:p>
      <w:pPr>
        <w:spacing w:after="0" w:line="131" w:lineRule="exact"/>
        <w:rPr>
          <w:sz w:val="20"/>
          <w:szCs w:val="20"/>
          <w:color w:val="auto"/>
        </w:rPr>
      </w:pPr>
    </w:p>
    <w:p>
      <w:pPr>
        <w:ind w:left="1080" w:right="1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milestone payments and annual license maintenance fees under our licensing agreements;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third-party CROs, CMOs and other third parties that conduct preclinical and clinical activities on our behalf and manufacture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associated with our research and development activities;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associated with our research and development programs, including laboratory materials and supplies.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31" w:lineRule="exact"/>
        <w:rPr>
          <w:sz w:val="20"/>
          <w:szCs w:val="20"/>
          <w:color w:val="auto"/>
        </w:rPr>
      </w:pPr>
    </w:p>
    <w:p>
      <w:pPr>
        <w:ind w:left="10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benefits, travel and meals expenses, and stock-based compensation expense for our research and development personnel;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costs, including software and other miscellaneous expenses incurred in connection with our research and development programs.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personnel-related expenses, including salaries, employee benefit costs and stock-based compensation expense; professional fees for legal, consulting, accounting and tax services; allocated overheads, including rent, equipment, information technology costs and utilities; and other general operating expenses not otherwise classified as research and development expenses.</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following this offering, as a result of increased personnel costs, including salaries, benefits and stock-based compensation expense, patent costs for our product candidates, expanded infrastructure and higher consulting, legal and accounting services associated with maintaining compliance with stock exchange listing and requirements of the Securities and Exchange Commission, or the SEC, investor relations costs and director and officer insurance premiums associated with being a public company.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and accretion of premiums and discounts on our investments in available-for-sale marketable securities.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related to our lab equipment finance leases.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expense, net primarily consists of settlement and revaluation of transactions and accounts payable in foreign currency.</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60"/>
          </w:cols>
          <w:pgMar w:left="320" w:top="455"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2021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6"/>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5,656</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7,025</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$ 1,369</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28,402</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2,550</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8,007</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1,857</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36,409</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4,407</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(26,346)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(29,384)</w:t>
            </w:r>
          </w:p>
        </w:tc>
        <w:tc>
          <w:tcPr>
            <w:tcW w:w="4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50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565</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564</w:t>
            </w:r>
          </w:p>
        </w:tc>
        <w:tc>
          <w:tcPr>
            <w:tcW w:w="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50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(26,350)</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(28,893)</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(2,543)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i w:val="1"/>
                <w:iCs w:val="1"/>
                <w:color w:val="auto"/>
              </w:rPr>
              <w:t>not meaningful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60" w:type="dxa"/>
            <w:vAlign w:val="bottom"/>
            <w:vMerge w:val="continue"/>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Collaboration revenue increased by $1.4 million, or 24%, from $5.7 million for the year ended December 31, 2021, to $7.0 million for the year ended December 31, 2022. This increase was related to the progress of our research activities related to the Gilead Agreement. In November 2022, after the completion of research activities and recognition of all deferred revenue as collaboration revenue, the two programs under the Gilead Agreement were terminated, and rights were returned to us. On October 24, 2023, after agreement by both parties that the Gilead Agreement had no active programs, Gilead provided us with 90 days’ written notice to terminate the Gilead Agreement, and such termination became effective as of January 22, 2024. We do not expect any future collaboration revenue until we enter into another collaboration revenue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00" w:type="dxa"/>
            <w:vAlign w:val="bottom"/>
            <w:gridSpan w:val="6"/>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costs: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License fees, milestone payments and annual maintenance fees related to</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acquired technologies</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$10,550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150</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$(10,400)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CRO, CMO, professional consulting and other third-party preclinical studies</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clinical trials costs</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7,225</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4,367</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8"/>
        </w:trPr>
        <w:tc>
          <w:tcPr>
            <w:tcW w:w="61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research and development costs, including laboratory materials and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supplies</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3,641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5,113</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1,472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Personnel-related</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11,028</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5,397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Facilities and overhead</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4,886</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1,714</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25,852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28,402</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2,550</w:t>
            </w:r>
          </w:p>
        </w:tc>
        <w:tc>
          <w:tcPr>
            <w:tcW w:w="4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9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expenses increased by $2.6 million, or 10%, from $25.9 million for the year ended December 31, 2021, to</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$28.4 million for the year ended December 31, 2022. License fees for the year ended December 31, 2021, included expenses related to the acquisition of licenses from Intellia of $7.2 million for our KYV-201 product candidate and the acquisition of licenses from the NIH of $3.3 million for our KYV-101 and KYV-201 product candidates. No such expenses were incurred for the year ended December 31, 2022. In 2022, CRO, CMO and other third-party preclinical studies and clinical trial expenses increased by $4.4 million and other research and development costs, including laboratory materials and supplies, increased by $1.5 million as compared to 2021 as we continued progress in our pre-clinical studies and clinical trials.</w:t>
      </w:r>
    </w:p>
    <w:p>
      <w:pPr>
        <w:spacing w:after="0" w:line="187" w:lineRule="exact"/>
        <w:rPr>
          <w:sz w:val="20"/>
          <w:szCs w:val="20"/>
          <w:color w:val="auto"/>
        </w:rPr>
      </w:pPr>
    </w:p>
    <w:p>
      <w:pPr>
        <w:ind w:left="120" w:right="500" w:firstLine="440"/>
        <w:spacing w:after="0" w:line="258" w:lineRule="auto"/>
        <w:rPr>
          <w:sz w:val="20"/>
          <w:szCs w:val="20"/>
          <w:color w:val="auto"/>
        </w:rPr>
      </w:pPr>
      <w:r>
        <w:rPr>
          <w:rFonts w:ascii="Times New Roman" w:cs="Times New Roman" w:eastAsia="Times New Roman" w:hAnsi="Times New Roman"/>
          <w:sz w:val="18"/>
          <w:szCs w:val="18"/>
          <w:color w:val="auto"/>
        </w:rPr>
        <w:t>In 2022, personnel-related research and development costs increased by $5.4 million as a result of hiring personnel in our research and development organization during the year. This increase included an increase of $0.3 million in stock-based compensation expense. Facilities and overhead costs increased by $1.7 million for 2022, mainly due to a $1.0 million increase in rent expense as we continued to invest in our research organization and expanded our leased facilities, an increase of $0.1 million in depreciation expense for our laboratory equipment, an increase of $0.1 million in allocated personnel-related costs and an increase of $0.5 million in other allocated facilities and overhead costs.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external costs by program for the periods presented:</w:t>
      </w:r>
    </w:p>
    <w:p>
      <w:pPr>
        <w:spacing w:after="0" w:line="24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155"/>
        </w:trPr>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5"/>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3"/>
                <w:szCs w:val="13"/>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KYV-101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6,707</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KYV-201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programs and research and development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5,418</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Other programs and research and development activities increased by $1.4 million for the year ended December 31, 2022 compared to the year ended December 31, 2021 and include expenses related to our preclinical research activities, including reagents, lab supplies, outsourced research and development and professional consulting services.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$1.8 million, or 30%, to $8.0 million for the year ended December 31, 2022, from $6.2 million for the year ended December 31, 2021. The increase in general and administrative expenses was primarily attributable to an increase of $0.9 million in professional services costs related to legal, accounting and consulting services, a $0.6 million increase in salaries and benefits, including an increase of $0.4 million in stock-based compensation expense, and a $0.4 million increase in facilities and overhead costs, partially offset by a $0.1 million reduction in other general and administrative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2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w:t>
            </w:r>
          </w:p>
        </w:tc>
        <w:tc>
          <w:tcPr>
            <w:tcW w:w="30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2022 </w:t>
            </w: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4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55"/>
        </w:trPr>
        <w:tc>
          <w:tcPr>
            <w:tcW w:w="3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74"/>
              </w:rPr>
              <w:t>percentages)</w:t>
            </w:r>
          </w:p>
        </w:tc>
        <w:tc>
          <w:tcPr>
            <w:tcW w:w="58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3800" w:type="dxa"/>
            <w:vAlign w:val="bottom"/>
            <w:shd w:val="clear" w:color="auto" w:fill="CCEEFF"/>
          </w:tcPr>
          <w:p>
            <w:pPr>
              <w:jc w:val="center"/>
              <w:ind w:right="1030"/>
              <w:spacing w:after="0"/>
              <w:rPr>
                <w:sz w:val="20"/>
                <w:szCs w:val="20"/>
                <w:color w:val="auto"/>
              </w:rPr>
            </w:pPr>
            <w:r>
              <w:rPr>
                <w:rFonts w:ascii="Times New Roman" w:cs="Times New Roman" w:eastAsia="Times New Roman" w:hAnsi="Times New Roman"/>
                <w:sz w:val="18"/>
                <w:szCs w:val="18"/>
                <w:color w:val="auto"/>
                <w:w w:val="99"/>
              </w:rPr>
              <w:t>Collaboration revenue – related party</w:t>
            </w:r>
          </w:p>
        </w:tc>
        <w:tc>
          <w:tcPr>
            <w:tcW w:w="16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6,743</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(6,743)</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0" w:type="dxa"/>
            <w:vAlign w:val="bottom"/>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9"/>
              </w:rPr>
              <w:t>Research and development</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21,335</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32,760</w:t>
            </w:r>
          </w:p>
        </w:tc>
        <w:tc>
          <w:tcPr>
            <w:tcW w:w="15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11,425</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8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2,252</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13,677</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2"/>
        </w:trPr>
        <w:tc>
          <w:tcPr>
            <w:tcW w:w="3800" w:type="dxa"/>
            <w:vAlign w:val="bottom"/>
          </w:tcPr>
          <w:p>
            <w:pPr>
              <w:spacing w:after="0"/>
              <w:rPr>
                <w:sz w:val="24"/>
                <w:szCs w:val="24"/>
                <w:color w:val="auto"/>
              </w:rPr>
            </w:pPr>
          </w:p>
        </w:tc>
        <w:tc>
          <w:tcPr>
            <w:tcW w:w="16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7"/>
              </w:rPr>
              <w:t>   Nine Months Ended, September 30 </w:t>
            </w:r>
          </w:p>
        </w:tc>
        <w:tc>
          <w:tcPr>
            <w:tcW w:w="220" w:type="dxa"/>
            <w:vAlign w:val="bottom"/>
          </w:tcPr>
          <w:p>
            <w:pPr>
              <w:spacing w:after="0"/>
              <w:rPr>
                <w:sz w:val="15"/>
                <w:szCs w:val="15"/>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6"/>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(41,029)</w:t>
            </w:r>
          </w:p>
        </w:tc>
        <w:tc>
          <w:tcPr>
            <w:tcW w:w="1400" w:type="dxa"/>
            <w:vAlign w:val="bottom"/>
            <w:gridSpan w:val="3"/>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(20,420)</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1,493</w:t>
            </w:r>
          </w:p>
        </w:tc>
        <w:tc>
          <w:tcPr>
            <w:tcW w:w="140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color w:val="auto"/>
              </w:rPr>
              <w:t>1,225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1400" w:type="dxa"/>
            <w:vAlign w:val="bottom"/>
            <w:gridSpan w:val="3"/>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(116)</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1,330</w:t>
            </w:r>
          </w:p>
        </w:tc>
        <w:tc>
          <w:tcPr>
            <w:tcW w:w="1400" w:type="dxa"/>
            <w:vAlign w:val="bottom"/>
            <w:gridSpan w:val="3"/>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1,118</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vMerge w:val="restart"/>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14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(39,699)</w:t>
            </w:r>
          </w:p>
        </w:tc>
        <w:tc>
          <w:tcPr>
            <w:tcW w:w="3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(19,302</w:t>
            </w:r>
          </w:p>
        </w:tc>
        <w:tc>
          <w:tcPr>
            <w:tcW w:w="520" w:type="dxa"/>
            <w:vAlign w:val="bottom"/>
            <w:vMerge w:val="continue"/>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meaningful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Collaboration revenue was $6.7 million and zero for the nine months ended September 30, 2022 and 2023, respectively, for the research activities performed under the Gilead Agreement. In November 2022, after the completion of research activities under the Gilead Agreement, the two research programs were cancelled and the rights were returned to us. On October 24, 2023, after agreement by both parties that the Gilead Agreement had no active programs, Gilead provided us with 90 days’ written notice to terminate the Gilead Agreement, and such termination became effective as of January 22, 2024.</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98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4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5"/>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costs: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License fees, milestone payments and annual maintenance fees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related to acquired technologies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175</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175</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CRO, CMO, professional consulting and other third-party</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preclinical studies and clinical trials costs</w:t>
            </w:r>
          </w:p>
        </w:tc>
        <w:tc>
          <w:tcPr>
            <w:tcW w:w="3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5,644</w:t>
            </w: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12,283</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6,639</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8"/>
        </w:trPr>
        <w:tc>
          <w:tcPr>
            <w:tcW w:w="55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research and development costs, including laboratory</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materials and supplies</w:t>
            </w:r>
          </w:p>
        </w:tc>
        <w:tc>
          <w:tcPr>
            <w:tcW w:w="3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3,821</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4,122</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301</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Personnel-related</w:t>
            </w: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8,229</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11,603</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3,374</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Facilities and overhead</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4,577</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936</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32,760</w:t>
            </w:r>
          </w:p>
        </w:tc>
        <w:tc>
          <w:tcPr>
            <w:tcW w:w="4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11,425</w:t>
            </w:r>
          </w:p>
        </w:tc>
        <w:tc>
          <w:tcPr>
            <w:tcW w:w="480" w:type="dxa"/>
            <w:vAlign w:val="bottom"/>
            <w:vMerge w:val="continue"/>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$11.4 million, or 54%, from $21.3 million for the nine months ended September 30, 2022, to $32.8 million for the nine months ended September 30, 2023. License fees for the nine months ended September 30, 2023, included expenses related to the minimum annual royalty under the NIH Agreement. No such expenses were incurred for the nine months ended September 30, 2022. During the nine months ended September 30, 2023, CRO, CMO and other third-party preclinical studies and clinical trial expenses increased by $6.6 million and other research and development costs, including laboratory materials and supplies, increased by $0.3 million as compared to the nine months ended September 30, 2022, as we continue progress in our pre-clinical studies and clinical trials.</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Personnel-related research and development costs increased by $3.4 million, or 41%, from $8.2 million for the nine months ended September 30, 2022, to $11.6 million for the nine months ended September 30, 2023,</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40"/>
          </w:cols>
          <w:pgMar w:left="320" w:top="455" w:right="5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including an increase of $0.2 million in stock-based compensation expense. We continue hiring personnel in our research and development organization and expect these expenses to increase in future periods. Facilities and overhead costs increased by $0.9 million for the nine months ended September 30, 2023, or 26%, from $3.6 million for the nine months ended September 30, 2022 to $4.6 million for the nine months ended September 30, 2023. The increase mainly relates to a $0.4 million increase in our rent expense as we continued to expand our leased facilities, and an increase of $0.5 million in the recruitment and other allocated facilities and overhead costs.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external costs by program for the periods presented:</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740" w:type="dxa"/>
            <w:vAlign w:val="bottom"/>
          </w:tcPr>
          <w:p>
            <w:pPr>
              <w:spacing w:after="0"/>
              <w:rPr>
                <w:sz w:val="15"/>
                <w:szCs w:val="15"/>
                <w:color w:val="auto"/>
              </w:rPr>
            </w:pPr>
          </w:p>
        </w:tc>
        <w:tc>
          <w:tcPr>
            <w:tcW w:w="16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55"/>
        </w:trPr>
        <w:tc>
          <w:tcPr>
            <w:tcW w:w="6740" w:type="dxa"/>
            <w:vAlign w:val="bottom"/>
          </w:tcPr>
          <w:p>
            <w:pPr>
              <w:spacing w:after="0"/>
              <w:rPr>
                <w:sz w:val="13"/>
                <w:szCs w:val="13"/>
                <w:color w:val="auto"/>
              </w:rPr>
            </w:pPr>
          </w:p>
        </w:tc>
        <w:tc>
          <w:tcPr>
            <w:tcW w:w="158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3"/>
                <w:szCs w:val="13"/>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KYV-101</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$5,081</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$10,984</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KYV-201</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2,694</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activities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4,174</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2,902</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research and development expenses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9,465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16,580</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Other research and development activities decreased by $1.3 million for the nine months ended September 30, 2023 compared to the nine months ended September 30, 2022 and include shared platform expenses and other program expenses not directly attributed to KYV-101 or KYV-201. The decrease is primarily attributable to a decrease in preclinical research activities, including reagents, lab supplies, outsourced research and development and professional consulting services.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$2.3 million, or 37%, from $6.0 million for the nine months ended September 30, 2022, to $8.3 million for the nine months ended September 30, 2023. The increase in general and administrative expenses was primarily attributable to a $1.6 million increase in salaries and benefits, including an increase of $0.7 million in stock-based compensation expense, an increase of $0.4 million in professional services costs related to legal, accounting and consulting services and a $0.3 million increase in facilities and overhead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Interest income increased $1.2 million, from $0.3 million for the nine months ended September 30, 2022, to $1.5 million for the nine months ended September 30, 2023. The increase relates to increased amounts invested in available-for-sale marketable securities and an increase in interest rates on these securities during the nine months ended September 30, 2023 compared to nine months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Through September 30, 2023, we have primarily funded our operations from sales of shares of our redeemable convertible preferred stock of $168.0 million, issuances of convertible notes of $2.0 million and an upfront payment of $17.5 million under the Gilead Agreement. As of September 30, 2023, we had $77.3 million in cash, cash equivalents and available-for-sale marketable securities.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and incur costs associated with the potential commercialization of our product candidates, if approved.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As of September 30, 2023, we had an accumulated deficit of $115.4 million. Based on the current cash forecast, management has determined that our present capital resources will not be sufficient to fund our planned operations for at least one year from the issuance date of the financial statements included elsewhere in this prospectus, which raises substantial doubt as to our ability to continue as a going concern. This forecast of cash resources and planned operations involves risks and uncertainties, and the actual amount of expenses could vary materially as a result of a number of factors.</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progress and results of our preclinical studies and clinical trials for our current and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duration of clinical trials required for regulatory approval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for our product candidates, including any requirement to conduct more studies or generate additional data beyond that which we currently expect would be required to support a Biologic License Application, or BLA;</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as well as scale-up of our current and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increase in the number of our employees and expansion of our physical facilities to support growth initiatives;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our patent applications, and maintaining and enforcing our patents and other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60"/>
          </w:cols>
          <w:pgMar w:left="320" w:top="455" w:right="5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informational systems and efforts to enhance operational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as well as other factors, including economic uncertainty and geopolitical tensions, which may exacerbate the magnitude of the factors discussed above.</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Furthermore, our operating plans may change, and we may need additional funds to meet operational needs and capital requirements for clinical trials and other research and development expenditures.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available-for-sale marketable securities, together with the estimated net proceeds from this offering, will be sufficient to fund our projected operating expenses and capital expenditure requirements into 2026. We have based this estimate on assumptions that may prove to be wrong, and we could exhaust our available capital resources sooner than we expect.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3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92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80" w:type="dxa"/>
            <w:vAlign w:val="bottom"/>
          </w:tcPr>
          <w:p>
            <w:pPr>
              <w:spacing w:after="0"/>
              <w:rPr>
                <w:sz w:val="15"/>
                <w:szCs w:val="15"/>
                <w:color w:val="auto"/>
              </w:rPr>
            </w:pPr>
          </w:p>
        </w:tc>
        <w:tc>
          <w:tcPr>
            <w:tcW w:w="23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2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8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56"/>
        </w:trPr>
        <w:tc>
          <w:tcPr>
            <w:tcW w:w="5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20" w:type="dxa"/>
            <w:vAlign w:val="bottom"/>
            <w:gridSpan w:val="3"/>
          </w:tcPr>
          <w:p>
            <w:pPr>
              <w:jc w:val="right"/>
              <w:ind w:right="398"/>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$(22,155)</w:t>
            </w: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3"/>
              </w:rPr>
              <w:t>$ (36,113)</w:t>
            </w: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9"/>
              </w:rPr>
              <w:t>$(27,296)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$(33,847)</w:t>
            </w: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(1,289)</w:t>
            </w: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(14,097)</w:t>
            </w: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(29,244)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(40,466)</w:t>
            </w: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72,523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11,880</w:t>
            </w:r>
          </w:p>
        </w:tc>
        <w:tc>
          <w:tcPr>
            <w:tcW w:w="11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11,982</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59,552</w:t>
            </w:r>
          </w:p>
        </w:tc>
      </w:tr>
      <w:tr>
        <w:trPr>
          <w:trHeight w:val="223"/>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$ 49,079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(38,330</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(44,558</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(14,761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was $22.2 million and $36.1 million for the years ended December 31, 2021 and 2022, respectively.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2021, was primarily due to our net loss of $26.4 million, decreased by other non-cash charges of $1.7 million and increased by a net reduction of $4.5 million in our net operating assets and liabilities. Our net loss also included a non-cash expense of $7.0 million related to the issuance of redeemable convertible preferred stock in connection with the Kite Agreement. Other non-cash changes primarily consisted of a $0.8 million non-cash lease expense, a $0.6 million depreciation and amortization expense and a $0.3 million stock-based compensation expense. The change in our net operating assets and liabilities was primarily due to a decrease in deferred revenue of</w:t>
      </w:r>
    </w:p>
    <w:p>
      <w:pPr>
        <w:spacing w:after="0" w:line="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$5.7 million related to recognition of collaboration revenue under the Gilead Agreement, a decrease in operating lease liabilities of $0.6 million and an increase in prepaid expenses and other current assets of $0.7 million, offset by a $1.6 million increase in accrued license expense, a $0.5 million increase in accrued compensation and a $0.4 million increase in other current liabilities.</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2022, was primarily due to our net loss of $28.9 million, decreased by non-cash charges of $3.1 million and increased by a net reduction of $10.3 million in our net operating assets and liabilities. The non-cash charges primarily consisted of a $1.4 million non-cash lease expense, a $1.1 million depreciation and amortization expense and a $0.9 million stock-based compensation expense, partially offset by $0.3 million of income related to the accretion of discounts on available-for-sale marketable securities. The change in our net operating assets and liabilities was primarily due to a decrease in deferred revenue of $7.0 million related to recognition of collaboration revenue under the Gilead Agreement, a decrease in accrued license expenses of $1.6 million, a decrease in operating lease liabilities of $1.1 million, an increase in prepaid expenses and other current assets of $0.9 million and an increase in other long-term assets of $0.6 million, offset by a $0.7 million increase in accounts payable and a $0.3 million increase in accrued compensation.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 was $27.3 million and $33.8 million for the nine months ended September 30, 2022 and 2023, respectively.</w:t>
      </w:r>
    </w:p>
    <w:p>
      <w:pPr>
        <w:spacing w:after="0" w:line="225"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2022, was primarily due to our net loss of $20.4 million, decreased by non-cash charges of $2.1 million and increased by a net reduction of $9.0 million in our net operating assets and liabilities. The non-cash charges primarily consisted of a $1.0 million non-cash lease expense, a $0.7 million depreciation and amortization expense and a $0.6 million stock-based compensation expense, partially offset by $0.1 million of income related to the accretion of discounts on available-for-sale marketable securities. The change in our net operating assets and liabilities was primarily due to a decrease in deferred revenue of $6.7 million related to the recognition of collaboration revenue under the Gilead Agreement, a decrease in accrued license expenses of $1.6 million, a decrease in operating lease liabilities of $0.8 million and an increase in prepaid expenses and other current assets of $0.6 million, offset by a $0.5 million increase in other liabilities.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2023, was primarily due to our net loss of $39.7 million, decreased by non-cash charges of $3.4 million and decreased by a net increase of $2.4 million in our net operating assets and liabilities. Non-cash changes primarily consisted of a $1.4 million stock-based compensation expense, a $1.3 million non-cash lease expense and a $1.2 million depreciation and amortization expense, partially offset by $0.5 million of income related to the accretion of discounts on available-for-sale marketable securities. The change in our net operating assets and liabilities was primarily due to an increase in other liabilities by $1.9 million, an increase in accounts payable by $1.6 million as we increased our operations and spending and an increase in accrued compensation by $0.4 million, offset by a $1.2 million decrease in operating lease liability and a $0.2 million increase in prepaid expense and other current assets.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$1.3 million, which consisted of purchases of property and equipment.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$14.1 million, which consisted of $56.5 million of purchases of available-for-sale marketable securities and $0.8 million of purchases of property and equipment, offset by $43.2 million in proceeds from maturities and sales of available-for-sale marketable securities.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2022, was $29.2 million, which consisted of $55.1 million of purchases of available-for-sale marketable securities and $0.8 million of purchases of property and equipment, offset by $26.6 million in proceeds from maturities of available-for-sale marketable securities.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2023, was $40.5 million, which consisted of $53.9 million of purchases of available-for-sale marketable securities and $0.3 million of purchases of property and equipment, offset by $13.7 million in proceeds from maturities of available-for-sale marketable securities.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$72.5 million, which consisted of net cash proceeds received from the issuance of shares of Series B Preferred Stock.</w:t>
      </w:r>
    </w:p>
    <w:p>
      <w:pPr>
        <w:spacing w:after="0" w:line="16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was $11.9 million, which consisted of $12.0 million net cash proceeds from our issuance of shares of Series B Preferred Stock and $0.2 million of proceeds from exercises of stock options, partially offset by a payment of $0.3 million related to finance lease obligations.</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2022, was $12.0 million, which consisted of $12.0 million net cash proceeds from our issuance of shares of Series B Preferred Stock and $0.1 million of proceeds from exercises of stock options, partially offset by a payment of $0.1 million related to finance lease obligations.</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$59.6 million, which consisted of $59.9 million net cash proceeds from our issuance of shares of Series B Preferred Stock and $0.4 million of proceeds from exercises of stock options, partially offset by a payment of $0.6 million related to finance lease obligations and payment of $0.2 million related to deferred initial public offering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clinical trials, with CMOs for clinical supplies manufacturing and with other vendors for preclinical studies, supplies and other products and services for operating purposes. These agreements generally provide for termination at the request of either party generally with less than one-year notice and, therefore, we believe that our non-cancellable obligations under these agreements are not material. We do not currently expect any of these agreements to be terminated and did not have any non-cancellable obligations under these agreements as of December 31, 2021, December 31, 2022 and September 30, 2023.</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milestone, royalty and other payments due to third parties under our existing license and collaboration agreements. Refer to Note 6 to our audited financial statements and Note 6 to our unaudited condensed financial statements included elsewhere in this prospectus for additional details. We cannot estimate when such payments will be due and none of these events were probable to occur as of December 31, 2021, December 31, 2022 and September 30, 2023.</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July 2020, we entered into a lab and office lease agreement, which was amended in November 2021 and expires in January 2027. In January and September 2022, we rented additional space under the amended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agreement. We also have multiple leases for laboratory equipment with 36-month terms that are accounted for as finance leases. We have also leased some of our office and lab space under short-term lease agreements. As of September 30, 2023, our non-cancellable lease obligations were $8.8 million and $2.2 million under operating and finance leases, respectively, of which $2.5 million and $1.1 million related to operating and finance leases, respectively, are due within the next 12 months. Refer to Note 7 in our unaudited condensed financial statements included elsewhere in this prospectus for more information on our lease obligations.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audited financial statements and Note 2 to our unaudited condensed financial statements included elsewhere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we evaluate our estimates and judgments, including, but not limited to, those related to revenue recognition under the Gilead Agreement, accrued research and development costs and stock-based compensation expense.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194"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Although our significant accounting policies are described in more detail in Note 2 to our audited financial statements and in Note 2 to our unaudited condensed financial statements included elsewhere in this prospectus, we believe that the following accounting estimates are those most critical to the judgments and estimates used in the preparation of our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 and Contracts with Customers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Collaboration revenue relates to our research and development activities performed under the Gilead Agreement. Refer to Note 6 in our audited financial statements included elsewhere in this prospectus.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apply judgment to determine whether a collaboration agreement is within the scope of revenue recognition, Accounting Standard Codification, or ASC, Topic 606, </w:t>
      </w:r>
      <w:r>
        <w:rPr>
          <w:rFonts w:ascii="Times New Roman" w:cs="Times New Roman" w:eastAsia="Times New Roman" w:hAnsi="Times New Roman"/>
          <w:sz w:val="18"/>
          <w:szCs w:val="18"/>
          <w:i w:val="1"/>
          <w:iCs w:val="1"/>
          <w:color w:val="auto"/>
        </w:rPr>
        <w:t>Revenue from Contract with Customers</w:t>
      </w:r>
      <w:r>
        <w:rPr>
          <w:rFonts w:ascii="Times New Roman" w:cs="Times New Roman" w:eastAsia="Times New Roman" w:hAnsi="Times New Roman"/>
          <w:sz w:val="18"/>
          <w:szCs w:val="18"/>
          <w:color w:val="auto"/>
        </w:rPr>
        <w:t xml:space="preserve">, or other accounting guidance at the effective date and throughout the term of the agreement. For elements of collaboration arrangements that are accounted for pursuant to ASC Topic 808, </w:t>
      </w:r>
      <w:r>
        <w:rPr>
          <w:rFonts w:ascii="Times New Roman" w:cs="Times New Roman" w:eastAsia="Times New Roman" w:hAnsi="Times New Roman"/>
          <w:sz w:val="18"/>
          <w:szCs w:val="18"/>
          <w:i w:val="1"/>
          <w:iCs w:val="1"/>
          <w:color w:val="auto"/>
        </w:rPr>
        <w:t>Collaboration Arrangements</w:t>
      </w:r>
      <w:r>
        <w:rPr>
          <w:rFonts w:ascii="Times New Roman" w:cs="Times New Roman" w:eastAsia="Times New Roman" w:hAnsi="Times New Roman"/>
          <w:sz w:val="18"/>
          <w:szCs w:val="18"/>
          <w:color w:val="auto"/>
        </w:rPr>
        <w:t>, we apply the revenue recognition model under ASC 606 or other guidance, as deemed appropriate.</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assess whether the promises in our arrangements with customers, including any options provided to a customer, are considered as distinct performance obligations that should be accounted for separately. Judgment is required to determine whether a license to our intellectual property is distinct from research and development services or participation on steering committees. Event-based milestone payments, royalties and cost reimbursements represent variable consideration. We evaluate the probability that event-based milestones will be achieved and estimate the amount to be included in the transaction price.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we estimate the transaction price, we allocate it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the SSP is determined using information that may include market conditions and other observable inputs. When licenses are combined with other promises, we use our judgment to assess the nature of the combined performance obligation to determine whether the combined performance obligation is satisfied over time or at a point in time. If we conclude that the combined performance obligation is satisfied over time, we recognize revenue based on the measure of progress using an estimated cost-based input method for each reporting period. Management applies considerable judgment in estimating expected costs as such costs are key inputs when applying the cost-based input method. A significant change in the estimate of expected costs for the remainder of a contract term could have a material impact on revenue recognized, including the possible reversal of previously recognized revenue, at each reporting period, as well as a related impact on contract assets and liabilities.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charged to expense as incurred. Research and development expenses include certain payroll and personnel expenses, license fees, laboratory supplies, consulting costs, external contract research and development expenses, and allocated overhead, including rent, equipment depreciation and utilities. Advance payments for goods or services for future research and development activities are deferred as prepaid expenses and expensed as the goods are delivered or the related services are performed.</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entered into various agreements with outsourced vendors, CMOs and CROs. We make estimates of accrued research and development expenses as of each balance sheet date based on facts and circumstances known at that time. We periodically confirm the accuracy of our estimates with the service providers and make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we will adjust the accrual accordingly.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measure stock-based awards made to employees and non-employees based on the estimated fair value of the awards as of the grant date using the Black-Scholes option-pricing model. The model requires management to make a number of assumptions including common stock fair value, expected volatility, expected term, risk-free interest rate and expected dividend yield.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See the subsection titled “Determination of Fair Value of Common Stock” below.</w:t>
      </w:r>
    </w:p>
    <w:p>
      <w:pPr>
        <w:spacing w:after="0" w:line="225" w:lineRule="exact"/>
        <w:rPr>
          <w:sz w:val="20"/>
          <w:szCs w:val="20"/>
          <w:color w:val="auto"/>
        </w:rPr>
      </w:pPr>
    </w:p>
    <w:p>
      <w:pPr>
        <w:ind w:left="120"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is estimated by studying the volatility of the prices of shares of common stock of comparable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similar terms. We will continue to apply this process until enough historical information regarding the volatility of our stock price becomes available.</w:t>
      </w:r>
    </w:p>
    <w:p>
      <w:pPr>
        <w:spacing w:after="0" w:line="173"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Expected term represents the period that our stock-based awards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w:t>
      </w:r>
    </w:p>
    <w:p>
      <w:pPr>
        <w:spacing w:after="0" w:line="158"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zero-coupon bonds issued in effect at the time of grant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corresponding with the expected term of the option.</w:t>
      </w:r>
    </w:p>
    <w:p>
      <w:pPr>
        <w:spacing w:after="0" w:line="158"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Black-Scholes valuation model calls for a single expected dividend yield as an input. To date, we have not declared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any dividends and we do not expect to declare or pay any dividends in the future.</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intrinsic value of all outstanding stock options as of September 30, 2023, was approximately $43.1 million, based on the initial public offering, or IPO, price of $22.00 per share of our common stock, of which approximately $7.5 million related to vested stock options, and approximately $35.6 million related to unvested stock options.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there has been no public market for our common stock prior to this offering,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or the Practice Aid.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determined the hybrid method was the most appropriate method for determining the fair value of our common stock based on our stage of development and other relevant factors. The hybrid method is a probability-weighted expected return method, or PWERM, where the equity value in one or more scenarios is calculated using an option pricing model, or OPM. We determined this was the most appropriate method for determining the fair value of our common stock based on our stage of development and other relevant factors. The PWERM is a scenario-based analysis that estimates the value per share of common stock based on the probability-weighted present value of expected future equity values for our common stock under various possible future liquidity event scenarios, considering the rights and preferences of each class of shares, and discounted for a lack of marketability. Under the hybrid method, an OPM was used to determine the fair value of our common stock in certain of the PWERM scenarios (capturing situations where our development path and future liquidity events were difficult to forecast), and potential exit events were explicitly modeled in the other PWERM scenarios. A discount for lack of marketability was applied to the value derived under each scenario to account for a lack of access to an active public market to estimate our common stock fair value.</w:t>
      </w:r>
    </w:p>
    <w:p>
      <w:pPr>
        <w:spacing w:after="0" w:line="19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addition to considering the results of independent third-party valuations, our board of directors considered various objective and subjective factors to determine the fair value of common stock as of each grant date, including:</w:t>
      </w:r>
    </w:p>
    <w:p>
      <w:pPr>
        <w:spacing w:after="0" w:line="67" w:lineRule="exact"/>
        <w:rPr>
          <w:sz w:val="20"/>
          <w:szCs w:val="20"/>
          <w:color w:val="auto"/>
        </w:rPr>
      </w:pPr>
    </w:p>
    <w:p>
      <w:pPr>
        <w:ind w:left="1080" w:right="16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preferred stock and the superior rights, preferences and privileges of our preferred stock relative to those of our common stock at the time of each grant;</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the status of preclinical studies and clinical trials for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development and our business strategy, and material risks related to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biotechnology industry and trends within the biotechnology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landscape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IPO or a sale of our company, given prevailing market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equity awards we may grant, as the fair value of our common stock will be based on the quoted market price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in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ensure liquidity and to preserve capital. We are exposed to market risks related to changes in interest rates of our cash equivalents and available-for-sale marketable securities. However, due to the nature of these cash equivalents and investments, we do not believe that a hypothetical 10% increase or decrease in interest rates during any of the periods presented would have had a material effect on our financial statements included elsewhere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employees and our operations are currently predominately located in the United States and our expenses are generally denominated in U.S. dollars. However, we do use research and development vendors outside of the United States. As such, our expenses are denominated in both U.S. dollars and foreign currencies. Therefore, our operations are and will continue to be subject to fluctuations in foreign currency exchange rates. To date, foreign currency transaction gains and losses have not been material to our financial statements, and we have not had a formal hedging program with respect to foreign currency. We do not believe that a hypothetical 10% increase or decrease in exchange rates during any of the periods presented would have had a material effect on our financial statements included elsewhere in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and development costs. We do not believe that inflation had a material effect on our business, results of operations or financial condition, or on our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condensed financial statements, with correspondingly reduced “Management’s Discussion and Analysis of Financial Condition and Results of Operations” disclosure in this prospectus; (ii) reduced disclosure about our executive compensation arrangements; (iii) not being required to hold advisory votes on executive compensation or to obtain stockholder approval of any golden parachute arrangements not previously approved;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hanging="4"/>
        <w:spacing w:after="0" w:line="266" w:lineRule="auto"/>
        <w:tabs>
          <w:tab w:leader="none" w:pos="4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w:t>
      </w:r>
    </w:p>
    <w:p>
      <w:pPr>
        <w:spacing w:after="0" w:line="176"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w:t>
      </w:r>
    </w:p>
    <w:p>
      <w:pPr>
        <w:spacing w:after="0" w:line="2" w:lineRule="exact"/>
        <w:rPr>
          <w:sz w:val="20"/>
          <w:szCs w:val="20"/>
          <w:color w:val="auto"/>
        </w:rPr>
      </w:pPr>
    </w:p>
    <w:p>
      <w:pPr>
        <w:ind w:left="120" w:hanging="4"/>
        <w:spacing w:after="0" w:line="252" w:lineRule="auto"/>
        <w:tabs>
          <w:tab w:leader="none" w:pos="4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shares of common stock held by non-affiliates is less than $250.0 million measured on the last business day of our second fiscal quarter, or our annual revenue is less than $100.0 million during the most recently completed fiscal year and the market value of our shares of common stock held by non-affiliates is less than $700.0 million measured on the last business day of our second fiscal quarter.</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patient-centered, clinical-stage biopharmaceutical company focused on developing cell therapies for patients suffering from autoimmune diseases. Our goal is to bring disease-modifying therapeutic benefits to patients suffering from autoimmune diseases through our patient-centered approach, our broad platform, our insights into treating immune disorders and the learnings from successful application of cell therapy in other areas of medicine. Our cell therapy approach to the treatment of autoimmune diseases is supported by the scientific publication of multiple autoimmune case studies using CD19 CAR T-cell treatment as well as early clinical data from our ongoing trials illustrating the disease-modifying potential of these therapies. This validation provides us with a clear path to continue advancing our lead product candidate, KYV-101, through clinical development across two broad areas of autoimmune disease: rheumatology and neurology.</w:t>
      </w:r>
    </w:p>
    <w:p>
      <w:pPr>
        <w:spacing w:after="0" w:line="189" w:lineRule="exact"/>
        <w:rPr>
          <w:sz w:val="20"/>
          <w:szCs w:val="20"/>
          <w:color w:val="auto"/>
        </w:rPr>
      </w:pPr>
    </w:p>
    <w:p>
      <w:pPr>
        <w:ind w:left="120" w:right="100" w:firstLine="440"/>
        <w:spacing w:after="0" w:line="238" w:lineRule="auto"/>
        <w:rPr>
          <w:sz w:val="20"/>
          <w:szCs w:val="20"/>
          <w:color w:val="auto"/>
        </w:rPr>
      </w:pPr>
      <w:r>
        <w:rPr>
          <w:rFonts w:ascii="Times New Roman" w:cs="Times New Roman" w:eastAsia="Times New Roman" w:hAnsi="Times New Roman"/>
          <w:sz w:val="18"/>
          <w:szCs w:val="18"/>
          <w:color w:val="auto"/>
        </w:rPr>
        <w:t xml:space="preserve">Our lead program, KYV-101, is an autologous CD19 CAR T-cell product candidate made from an underlying chimeric antigen receptor, or CAR, that we have licensed from the National Institutes of Health, or the NIH. This underlying CAR in KYV-101 has completed a 20-patient Phase 1 trial in oncology conducted by the NIH, and the results from this Phase 1 trial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reported improved tolerability in the clinic among adult oncology patients using the same CAR construct in KYV-101, as compared to the CAR used to create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underlying CAR in KYV-101 was designed by the NIH to improve tolerability through a systematic comparison of CARs created with alternate domain structures, identifying the use of a fully human CD19 binding domain and optimized hinge and transmembrane domains. We believe that these differentiated properties of the underlying CAR construct in KYV-101 are critical for the potential success of CAR T cells as autoimmune disease therapies.</w:t>
      </w:r>
    </w:p>
    <w:p>
      <w:pPr>
        <w:spacing w:after="0" w:line="200"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We intend to develop KYV-101 in two broad areas of autoimmune disease: rheumatology and neurology. Our initial rheumatology development focus is on lupus nephritis, or LN, and systemic sclerosis, or SSc. We are conducting two trials of KYV-101 in patients with LN, an autoimmune disease in which more than half of patients do not achieve a complete response to current therapies and are at risk of developing kidney failure. In addition to LN, we received Investigational New Drug, or IND, clearance in October 2023 for a Phase 1/2 study in SSc. We intend to initially focus our neurology development on myasthenia gravis, or MG, and multiple sclerosis, or MS. We received IND clearance in November 2023 for a Phase 2 study in MG, and we received IND clearance in December 2023 for a Phase 2 study in MS. We believe our approach may present a significant advantage over current standard-of-care therapies for autoimmune diseases by aiming to directly deplete B cells and potentially resetting disease-contributing B cells.</w:t>
      </w:r>
    </w:p>
    <w:p>
      <w:pPr>
        <w:spacing w:after="0" w:line="17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also actively developing an allogeneic, off-the-shelf approach to further broaden patient access. To this end, we have partnered with Intellia Therapeutics, Inc., or Intellia, a leader in the field of gene editing, to develop KYV-201, an allogeneic CD19 CAR T-cell product candidate. Our research-stage programs are focused on developing product candidates to treat other autoimmune diseases, such as inflammatory bowel disease, or IBD, which includes Crohn’s disease and ulcerative colitis, and extend beyond CD19 CAR-T approaches, including regulatory T cells, or T-regs, and novel humanized CAR constructs developed by us for use in autoimmune diseases.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Translating transformational experience with cell therapies to autoimmune diseases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believe the success of cell therapies such as CAR T-cell therapies in oncology have paved the way for the application of cell therapies in other therapeutic areas. Pathologic B cells are the cause of a number of hematological malignancies, such as B-cell lymphoma. In recent years, multiple engineered cell therapies have been approved that can eliminate these B cells, resulting in long-term complete responses in lymphoma patients refractory to other therapies. One of the most widely used, studied, and clinically validated engineered cell therapies is CAR T-cell therapy, a form of immunotherapy whereby the patient’s T cells are engineered to express a CAR that recognizes and binds to a specific antigen present on tumor cells to generate an anti-tumor immune response. CAR T cells for this therapy are generated by isolating T cells from the patient and introducing a CAR construct that directs these modified T cells to attack B cells based on the expression of a common antigen, CD19.</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Autoimmune diseases affect organs throughout the body. A common characteristic of many of these diseases is the presence of autoantibodies, antibodies produced by the body’s B cells that mistakenly attack other cells and tissues in the body. Given that the therapeutic benefit associated with B-cell depletion is common between B-cell-driven hematologic malignancies and autoimmune diseases, we anticipated that CD19 CAR T cells would have therapeutic benefits in autoimmune diseases, a result that has now been observed in the publication of a number of case studies.</w:t>
      </w:r>
    </w:p>
    <w:p>
      <w:pPr>
        <w:spacing w:after="0" w:line="17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academic clinical data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in September 2022, a CD19 CAR T-cell therapy was observed to induce clinical remission in all five systemic lupus erythematosus, or SLE, patients with lupus nephritis. All patients experienced significant improvements in Systemic Lupus Erythematosus Disease Activity Index 2000, or SLEDAI-2K, scores. Scores of zero, corresponding to no disease activity on such index, were achieved in four patients by three months post treatment and a score of two in one patient due to residual low-level proteinuria that was likely due to previously accumulated kidney damage. Several other important observations were the elimination of autoantibodies, B-cell reconstitution after an average time of 110 days of CAR T infusion in all patients, preservation of vaccination responses, and that treatment was well tolerated, with either no or mild cytokine release syndrome, or CRS. Further, in clinical data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in 2021, a 20-year-old woman with severe and refractory SLE was observed to experience rapid remission of symptoms and autoantibody levels following a single treatment with autologous CD19 CAR T cells. This patient has been in remission for at least 600 days and is included in the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publication mentioned above. We believe the foregoing academic clinical data, including the rapid depletion of B cells upon initiation of treatment and subsequently observed naïve B-cell reconstitution, suggest that CD19 CAR T-cell therapy could potentially lead to significant clinical benefit and reset the immune system with a single, well-tolerated treatment. However, the foregoing data was obtained by a third party outside of a formal clinical trial setting and we are seeking to validate this premise through well-controlled, multicenter clinical trials that demonstrate statistically significant results.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High prevalence and unmet need across autoimmune diseases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Over 80 diseases are classified as autoimmune diseases affecting up to 8% of the U.S. population. Moreover, the prevalence of autoimmunity is on the rise in the United States. Over the last 25 years, researchers have observed a 44% increase in the presence of antinuclear antibodies, the autoantibody in lupus, affecting 41 million people. These autoantibodies represent an early sign of autoimmune diseases, which develop in about 30% of these individuals over a five- to ten-year period. The chronic and debilitating nature of these diseases leads to both high medical costs and reduced quality of life, creating a significant burden for patients, their families and the health care system. It is estimated that sales for autoimmune disease therapies were greater than $80 billion globally in 2021. Despite the availability of many approved drugs, there remains substantial unmet clinical need, as existing therapies are rarely considered curative and the majority of patients do not respond optimally, if at all, to these therapies.</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Current autoimmune disease treatments such as hematopoietic stem cell transplantation, or HSCT, and the use of B-cell-targeting monoclonal antibodies have led to therapeutic responses, but the majority of patients do not benefit either because of unacceptable toxicity risks or due to weak or short-lived activity. The HSCT process leads to depletion of the patient’s immune system, and is a procedure associated with potentially life-threatening complications and its use to treat autoimmune disease is primarily as a salvage therapy for patients with severe refractory disease. Poor or mixed results have also been reported from patients with SLE, inflammatory myositis and autoimmune hepatitis when using monoclonal antibodies targeted against CD20, such as rituximab. We believe that the poor efficacy of anti-CD20 antibodies for these indications may be due in part to limited antibody activity in diseased tissue due to the weak tissue- penetrating ability of antibodies.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pipeline and programs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portfolio of product candidates for the treatment of autoimmune diseases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220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KYV-101, a fully human CD19 CAR T-cell therapy, was created using a CAR designed by the NIH to improve tolerability through the use of a fully human CD19 binding domain and optimized hinge and transmembrane domains. We in-licensed this highly differentiated CD19 CAR contained in KYV-101 and KYV-201 from the NIH. We believe that this combination of components produces a CAR with a differentiated safety profile. In an oncology Phase 1 trial conducted at the National Cancer Institute of the NIH, patients treated with the CD19 CAR used in KYV-101, referred to as Hu19-CD828Z, were found to experience lower levels of inflammatory cytokines, such as TNFα and IL-6, versus alternative CARs such as FMC63-28Z, the CAR used to create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Treatment with Hu19-CD828Z CAR T cells resulted in significantly lower rate of mild and severe neurotoxicity than previously observed in patients treated with FMC63-CD28Z at the same clinic. Despite the lower levels of inflammatory cytokine and neurotoxicity, Hu19-CD828Z still led to similar rates of durable antitumor responses. We believe that this favorable profile has the potential to be critical for the application of CAR T-cell therapies in indications such as autoimmune diseases, where there may be lower tolerance for treatment-related serious, and potentially fatal, adverse events.</w:t>
      </w:r>
    </w:p>
    <w:p>
      <w:pPr>
        <w:spacing w:after="0" w:line="19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intend to develop KYV-101 in two broad areas of autoimmune disease: rheumatology and neurology. Our first clinical development program for KYV-101 is in lupus nephritis, a kidney disease that commonly develops in patients with SLE. We estimate that there are up to 40,000 lupus nephritis patients in the U.S. that are resistant to current therapies and are at high risk of developing kidney failure. In addition to this high unmet clinical need, there are several factors that we believe position lupus nephritis as an attractive lead indication, including promising early data from our ongoing clinical studies; clinical insights from promising case reports; the ability to achieve and measure clinically meaningful improvements in relatively short clinical trials; and recent regulatory precedents establishing clear and objective clinical endpoints for approval. We are conducting and sponsoring clinical trials in lupus nephritis in both the United States and Germany.</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exploring the potential of KYV-101 in other indications through a combination of investigator-initiated clinical trials in the United States and named patient activities by individual physicians (including, for example, “</w:t>
      </w:r>
      <w:r>
        <w:rPr>
          <w:rFonts w:ascii="Times New Roman" w:cs="Times New Roman" w:eastAsia="Times New Roman" w:hAnsi="Times New Roman"/>
          <w:sz w:val="18"/>
          <w:szCs w:val="18"/>
          <w:i w:val="1"/>
          <w:iCs w:val="1"/>
          <w:color w:val="auto"/>
        </w:rPr>
        <w:t>Individueller Heilversuch</w:t>
      </w:r>
      <w:r>
        <w:rPr>
          <w:rFonts w:ascii="Times New Roman" w:cs="Times New Roman" w:eastAsia="Times New Roman" w:hAnsi="Times New Roman"/>
          <w:sz w:val="18"/>
          <w:szCs w:val="18"/>
          <w:color w:val="auto"/>
        </w:rPr>
        <w:t>,” or single-patient treatment healing attempts, in Germany) outside of our sponsored clinical trials. We supply KYV-101 for use in qualified patients who have exhausted other treatment options and for whom there are strong patient-and indication-related scientific rationales. This strategy aligns with our mission to prioritize patient needs while providing us insight to help de-risk additional potential indications where our autoimmune cell therapy approach can benefit patients who are refractory to existing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therapies. These investigator-initiated trials and named patient activities are not part of our clinical trials for KYV-101 and data from these trials and activities are reported by the relevant investigators and physicians. Such data are not obtained using a single protocol or designed to be aggregated or reported as study results, and may be highly variable. While we do not expect to be able to use the results from these investigator-initiated trials or named patient activities in our applications for marketing approval to the U.S. Food and Drug Administration, or the FDA, or other foreign regulatory agencies, we believe that this strategy may provide some competitive advantage as we will be able to acquire additional clinical insights beyond highly focused clinical trials in specific geographies.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September 2023, Stanford received IND clearance for an investigator-initiated trial of KYV-101 in MS, and in November 2023, the University of Pennsylvania received IND clearance for an investigator-initiated trial of KYV-101 in a basket of rheumatology indications. Additionally, the University of California, San Francisco and the University of Massachusetts are also preparing additional IND applications to begin investigator-initiated trials of KYV-101. Other academic institutions involved in a combination of named patient activities, investigator-initiated trials and translational collaboration include Charité - Universitätsmedizin Berlin, Department of Rheumatology and Clinical Immunology, Friedrich-Alexander-Universität (FAU) Erlangen-Nürnberg, Heinrich Heine Universität Dusseldorf, University Medical Center Hamburg Eppendorf and Taichung Veterans General Hospital, with areas of focus across neurology, rheumatology, biomarkers and lymphodepletion.</w:t>
      </w:r>
    </w:p>
    <w:p>
      <w:pPr>
        <w:spacing w:after="0" w:line="18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the near term, we plan to initiate KYV-101 in Kyverna-sponsored clinical trials in SSc, MG and MS. In October 2023, we received IND clearance for SSc, in November 2023 we received IND clearance for a Phase 2 study in MG, and in December 2023 we received IND clearance for a Phase 2 study in MS.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are also developing KYV-201, an allogeneic therapy containing the same CAR as KYV-101, with the intent of developing it in multiple autoimmune diseases. We believe that developing an allogeneic CD19 CAR T-cell therapy could further broaden patient access to potentially transformative CAR T-cell therapy. We have partnered with Intellia to apply its gene editing technology to the creation of KYV-201. The combination of our CD19 CAR licensed from the NIH and Intellia’s differentiated technology platform has led to the creation of a product candidate in which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matches the cell killing activity of KYV-101 but does so in the context of allogeneic cells.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research-stage programs are focused on developing product candidates to treat other autoimmune diseases such as inflammatory bowel disease, or IBD, which includes Crohn’s disease and ulcerative colitis. These programs include a suite of capabilities related to T-regs developed through our completed research collaboration with Gilead Sciences, Inc., or Gilead, and novel humanized CAR constructs developed by us for use in autoimmunity. T-regs are a subset of CD4+ T cells that maintain tolerance in the periphery through multiple mechanisms involving both soluble mediators and direct cell-cell interactions. Clinical use of polyclonal, non-engineered T-regs has not yielded optimal therapeutic effects to date in autoimmune disease settings. However, we believe the use of antigen-specific T-regs, possibly through use of a CAR, holds promise by enhancing homing to antigen-specific effector T cells or sites of inflammation. Published reports in multiple pre-clinical animal models of autoimmunity have demonstrated that antigen-specific T-regs are significantly more effective than polyclonal T-regs. We are in the process of preparing a publication that addresses the therapeutic use of T-regs using a CAR and our differentiated approach that is the product of our significant investments in this modality.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Manufacturing capabilities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developing a robust manufacturing process for KYV-101 and have partnered with an experienced contract development and manufacturing organization, WuXi ATU Advanced Therapies, Inc., to generate KYV-101 for near-term clinical trials and named patient supply. In parallel, we are developing Ingenui-T, a manufacturing process designed to improve patient experience and manufacturing capabilities through partnerships with world-class organizations in cell therapy manufacturing, including ElevateBio, LLC.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company history and team</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both on our initial product candidate KYV-101 and on our emerging research efforts, it is our ambition to become the leader in the development of cell therapies for the treatment of immune diseases. We were founded in 2018 after recognizing the potential of CD19 CAR T-cell therapies in autoimmune disease, and we successfully pursued the rights to a highly differentiated CAR construct from the NIH with the goal of bringing life-changing therapeutic benefits to patients suffering from autoimmune diseases. We began to license this construct in 2020 before investigators published a series of highly cited publications that confirmed our hypothesis. While developing a clinical development plan for this asset, we also anticipated the potential that an allogeneic CD19 CAR T-cell therapy could have in the treatment of autoimmune diseases and partnered with Intellia to incorporate its gene editing technology into a second product candidate. The potential for cell therapies in autoimmune diseases extends beyond products based on CD19 CAR T cells and we believe that our preclinical research efforts in these areas will serve to position us at the forefront of the field.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leadership team has deep industry experience:</w:t>
      </w:r>
    </w:p>
    <w:p>
      <w:pPr>
        <w:spacing w:after="0" w:line="221"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Peter Maag, Ph.D.</w:t>
      </w:r>
      <w:r>
        <w:rPr>
          <w:rFonts w:ascii="Times New Roman" w:cs="Times New Roman" w:eastAsia="Times New Roman" w:hAnsi="Times New Roman"/>
          <w:sz w:val="18"/>
          <w:szCs w:val="18"/>
          <w:color w:val="auto"/>
        </w:rPr>
        <w:t>, our Chief Executive Officer, has over 20 years of executive management experience in the pharmaceutical and diagnostic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industries, most recently serving as Executive Chairman and CEO of CareDx, which he led from its time as a small startup through its emergence as a public company with a $5 billion market value in 2022.</w:t>
      </w:r>
    </w:p>
    <w:p>
      <w:pPr>
        <w:spacing w:after="0" w:line="17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Dominic Borie, M.D., Ph.D.</w:t>
      </w:r>
      <w:r>
        <w:rPr>
          <w:rFonts w:ascii="Times New Roman" w:cs="Times New Roman" w:eastAsia="Times New Roman" w:hAnsi="Times New Roman"/>
          <w:sz w:val="18"/>
          <w:szCs w:val="18"/>
          <w:color w:val="auto"/>
        </w:rPr>
        <w:t>, our President, Research and Development, has a deep background in immunology and is a digestive tract and liver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transplant surgeon. Dr. Borie previously had leadership positions at Horizon Therapeutics, Genentech, Amgen and Roche.</w:t>
      </w:r>
    </w:p>
    <w:p>
      <w:pPr>
        <w:spacing w:after="0" w:line="155" w:lineRule="exact"/>
        <w:rPr>
          <w:sz w:val="20"/>
          <w:szCs w:val="20"/>
          <w:color w:val="auto"/>
        </w:rPr>
      </w:pPr>
    </w:p>
    <w:p>
      <w:pPr>
        <w:ind w:left="120" w:right="780" w:firstLine="44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James Chung, M.D., Ph.D.</w:t>
      </w:r>
      <w:r>
        <w:rPr>
          <w:rFonts w:ascii="Times New Roman" w:cs="Times New Roman" w:eastAsia="Times New Roman" w:hAnsi="Times New Roman"/>
          <w:sz w:val="18"/>
          <w:szCs w:val="18"/>
          <w:color w:val="auto"/>
        </w:rPr>
        <w:t>, our Chief Medical Officer, previously served as Executive Medical Director and head of Inflammation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Neuroscience, Global Medical Organization, and Global Development Leader for ENBREL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Amgen.</w:t>
      </w:r>
    </w:p>
    <w:p>
      <w:pPr>
        <w:spacing w:after="0" w:line="18"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Karen Walker</w:t>
      </w:r>
      <w:r>
        <w:rPr>
          <w:rFonts w:ascii="Times New Roman" w:cs="Times New Roman" w:eastAsia="Times New Roman" w:hAnsi="Times New Roman"/>
          <w:sz w:val="18"/>
          <w:szCs w:val="18"/>
          <w:color w:val="auto"/>
        </w:rPr>
        <w:t>, our Chief Technology Officer, has broad and deep industry experience in developing biopharmaceuticals and cell and gene therapy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at Roche/Genentech, Seattle Genetics, Novartis and other leading pharmaceutical companies.</w:t>
      </w:r>
    </w:p>
    <w:p>
      <w:pPr>
        <w:spacing w:after="0" w:line="15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Ryan Jones</w:t>
      </w:r>
      <w:r>
        <w:rPr>
          <w:rFonts w:ascii="Times New Roman" w:cs="Times New Roman" w:eastAsia="Times New Roman" w:hAnsi="Times New Roman"/>
          <w:sz w:val="18"/>
          <w:szCs w:val="18"/>
          <w:color w:val="auto"/>
        </w:rPr>
        <w:t>, our Chief Financial Officer, was part of our founding team and has extensive industry experience in healthcare and life science,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at GE Ventures and Thermo Fisher Scientific.</w:t>
      </w:r>
    </w:p>
    <w:p>
      <w:pPr>
        <w:spacing w:after="0" w:line="15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Since our inception, we have raised approximately $170 million in equity capital from investors that have significant life sciences experience and that share our vision to create a leading company in the autoimmunity field.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mission is to bring life-changing therapeutic benefits to patients suffering from autoimmune diseases. We intend to develop cell therapy product candidates with efficacy across multiple types of autoimmune diseases, including highly prevalent indications with high unmet clinical needs. We plan to pursue our mission through the following strategies:</w:t>
      </w:r>
    </w:p>
    <w:p>
      <w:pPr>
        <w:spacing w:after="0" w:line="77" w:lineRule="exact"/>
        <w:rPr>
          <w:sz w:val="20"/>
          <w:szCs w:val="20"/>
          <w:color w:val="auto"/>
        </w:rPr>
      </w:pPr>
    </w:p>
    <w:p>
      <w:pPr>
        <w:ind w:left="1080" w:right="60" w:hanging="424"/>
        <w:spacing w:after="0" w:line="275" w:lineRule="auto"/>
        <w:tabs>
          <w:tab w:leader="none" w:pos="10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Transforming autoimmune patients’ experiences through cell therapies. </w:t>
      </w:r>
      <w:r>
        <w:rPr>
          <w:rFonts w:ascii="Times New Roman" w:cs="Times New Roman" w:eastAsia="Times New Roman" w:hAnsi="Times New Roman"/>
          <w:sz w:val="17"/>
          <w:szCs w:val="17"/>
          <w:color w:val="auto"/>
        </w:rPr>
        <w:t>Our success is dependent on our ability to address the need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safe and effective therapies for patients, especially those who are refractory to other available therapies. Despite an abundance of marketed therapies in some autoimmune indications, many patients are nevertheless severely underserved. In addition, patients’ daily lives are often considerably compromised, making broad and impactful interventions all the more imperative. We strive to always consider the patient’s perspective as we decide how to create, develop, manufacture and potentially commercialize our product candidates, if approved. We prioritize following patients treated in our clinical trials not only through the course of treatment, but for many years thereafter.</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320" w:hanging="424"/>
        <w:spacing w:after="0" w:line="26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KYV-101 through a broad clinical trial program, and driving the value of CD19 CAR T-cell therapy in autoimmune diseases. </w:t>
      </w:r>
      <w:r>
        <w:rPr>
          <w:rFonts w:ascii="Times New Roman" w:cs="Times New Roman" w:eastAsia="Times New Roman" w:hAnsi="Times New Roman"/>
          <w:sz w:val="18"/>
          <w:szCs w:val="18"/>
          <w:color w:val="auto"/>
        </w:rPr>
        <w:t>We appreciate that there is both a high demand for novel therapies for autoimmune diseases and significant competition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cell therapies, motivating us to move quickly and decisively. We are enrolling two open-label, multicenter clinical trials of KYV-101 in lupus nephritis.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8"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Advancing KYV-201 into clinical trials</w:t>
      </w:r>
      <w:r>
        <w:rPr>
          <w:rFonts w:ascii="Times New Roman" w:cs="Times New Roman" w:eastAsia="Times New Roman" w:hAnsi="Times New Roman"/>
          <w:sz w:val="18"/>
          <w:szCs w:val="18"/>
          <w:color w:val="auto"/>
        </w:rPr>
        <w:t>. Successful development of allogeneic therapies for the treatment of autoimmune diseases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enables the expansion of patient access and the treatment of highly prevalent diseases with off-the-shelf therapies based on cells from healthy donors.</w:t>
      </w:r>
    </w:p>
    <w:p>
      <w:pPr>
        <w:spacing w:after="0" w:line="76"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access and clinical experience with our product candidates through investigator-initiated trials and named patient activities in line with our patient-centered focus. </w:t>
      </w:r>
      <w:r>
        <w:rPr>
          <w:rFonts w:ascii="Times New Roman" w:cs="Times New Roman" w:eastAsia="Times New Roman" w:hAnsi="Times New Roman"/>
          <w:sz w:val="18"/>
          <w:szCs w:val="18"/>
          <w:color w:val="auto"/>
        </w:rPr>
        <w:t>We actively partner with leading clinicians interested in assessing the potential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candidates to treat patients who are refractory to existing therapies, by either initiating their own clinical trials in the United States, or treating a single patient who has exhausted other treatment options on a named patient basis outside of the United States. While we do not expect to be able to use the results from these trials or activities in our application for marketing approval to the FDA or other foreign regulatory agencies, our openness to named patient treatments and other such non-traditional clinical approaches serves our mission to prioritize patient needs while providing us insight into potential areas for future clinical development. Pursuing investigator-initiated trials also increases physician familiarity with our company and broadens our network of potential prescribers for our therapies if they are approved.</w:t>
      </w:r>
    </w:p>
    <w:p>
      <w:pPr>
        <w:spacing w:after="0" w:line="93"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Investing in early-stage research programs to expand our pipeline and capabilities through selectively acquiring highly differentiated technologies. </w:t>
      </w:r>
      <w:r>
        <w:rPr>
          <w:rFonts w:ascii="Times New Roman" w:cs="Times New Roman" w:eastAsia="Times New Roman" w:hAnsi="Times New Roman"/>
          <w:sz w:val="18"/>
          <w:szCs w:val="18"/>
          <w:color w:val="auto"/>
        </w:rPr>
        <w:t>Treatment of the wide spectrum of autoimmune diseases will require more than the ability to target B cells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CD19 CAR T-cell therapies. We have developed T-reg capabilities through our completed research collaboration with Gilead and novel humanized CAR constructs that we have created for use in autoimmunity. Similar to our successful efforts to license the technologies behind KYV-101 and KYV-201, we intend to continue to actively pursue technologies through capital-efficient acquisitions or partnerships that offer us the possibility of developing safe and effective cell therapies for autoimmune diseases.</w:t>
      </w:r>
    </w:p>
    <w:p>
      <w:pPr>
        <w:spacing w:after="0" w:line="87" w:lineRule="exact"/>
        <w:rPr>
          <w:rFonts w:ascii="Times New Roman" w:cs="Times New Roman" w:eastAsia="Times New Roman" w:hAnsi="Times New Roman"/>
          <w:sz w:val="18"/>
          <w:szCs w:val="18"/>
          <w:color w:val="auto"/>
        </w:rPr>
      </w:pPr>
    </w:p>
    <w:p>
      <w:pPr>
        <w:ind w:left="1080" w:right="400" w:hanging="424"/>
        <w:spacing w:after="0" w:line="259"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Investing in technologies to prepare for commercialization and selectively evaluating strategic partnerships to improve patient experience or enable greater patient access</w:t>
      </w:r>
      <w:r>
        <w:rPr>
          <w:rFonts w:ascii="Times New Roman" w:cs="Times New Roman" w:eastAsia="Times New Roman" w:hAnsi="Times New Roman"/>
          <w:sz w:val="18"/>
          <w:szCs w:val="18"/>
          <w:color w:val="auto"/>
        </w:rPr>
        <w:t>. We plan to build a fully integrated biopharmaceutical company capable of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registrational trials, obtaining regulatory approvals and commercializing our drugs globally. We plan to invest in manufacturing technologies, commercial supply advancements and demand planning processes to provide us with distinct competitive advantages, maximize patient access and overcome historical supply challenges for this modality.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Autoimmune Disease Market Background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Autoimmune disease arises from an immune response directed not against pathogenic cells but rather against the body’s own cells and tissues. In a healthy individual, immune cells such as B cells and T cells that recognize normal cells and tissues – and could thus cause harm – are either eliminated before they mature, or have their activities suppressed by other mechanisms. However, in autoimmune disease patients, these preventative measures fail due to a combination of both a person’s genetic makeup and his or her exposure to certain antigens from infections or the environment.</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Autoimmune disease is widely and increasingly prevalent, evidenced by over 80 autoimmune diseases impacting up to 8% of the U.S. population. Over the last 25 years, researchers have observed a 44% increase in the presence of antinuclear antibodies, the autoantibody in lupus, affecting</w:t>
      </w: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41 million people. These autoantibodies represent an early sign of autoimmune diseases, which develop in about 30% of these individuals over a five-to ten-year period.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chronic and debilitating nature of these diseases leads to both high medical costs and reduced quality of life, creating a significant burden for patients, their families and the health care system. It is estimated that sales for autoimmune disease therapies were greater than $80 billion globally in 2021. Despite the availability of many approved drugs, there remains substantial unmet clinical need, as existing therapies are rarely considered curative and the majority of patients do not respond optimally, if at all, to these therapies.</w:t>
      </w:r>
    </w:p>
    <w:p>
      <w:pPr>
        <w:spacing w:after="0" w:line="180" w:lineRule="exact"/>
        <w:rPr>
          <w:sz w:val="20"/>
          <w:szCs w:val="20"/>
          <w:color w:val="auto"/>
        </w:rPr>
      </w:pPr>
    </w:p>
    <w:p>
      <w:pPr>
        <w:jc w:val="both"/>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There is a wide spectrum of diseases and symptoms driven by autoimmunity. The presence of autoantibodies, a product of autoreactive B cells, is a hallmark of many of these diseases. Although the identity of the autoantigen targeted and the tissue or organ with the most significant pathology may differ among autoimmune diseases, the production of autoantibodies by B cells is a common characteristic among many of them. There is also growing evidence that autoreactive B cells may also drive many autoimmune diseases through their interactions with T cells and the production of cytokines.</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This unifying biology provides us with the opportunity to create therapies for many autoimmune diseases by targeting autoantibody production by B cells.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for select B-cell-driven diseases the number of diagnosed patients in the United States, the European Union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Japan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160020</wp:posOffset>
            </wp:positionV>
            <wp:extent cx="2863215" cy="27603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6321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of Current Autoimmune Disease Therapies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Two therapeutic approaches serve to validate the broad potential of B-cell-targeted therapies: stem-cell transplant and anti-CD20 antibodies. Patients with B-cell hematologic malignancies, such as multiple myeloma, can obtain deep, durable remissions of their disease by autologous hematopoietic stem cell transplant, or HSCT. The HSCT process involves isolating hematopoietic stem cells from a patient and treating the patient with high-dose chemotherapy to eliminate tumor cells. This process also leads to depletion of the patient’s immune system, which can be reconstituted by administration of the hematopoietic stem cells, and has been shown to be effective in treating autoimmune disease, resulting in durable responses. HSCT, however, is a procedure associated with potentially life-threatening complications and its use to treat autoimmune disease is primarily as a salvage therapy for patients with severe refractory disease.</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Monoclonal antibodies targeted against CD20, such as rituximab, have been approved to treat a number of diseases including hematopoietic malignancies and immune disorders. These antibodies bind to CD20, a B</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cell-specific antigen, leading to B-cell depletion. More recently, rituximab has been shown to have efficacy in a number of autoimmune diseases, including rheumatoid arthritis, pemphigus vulgaris and ANCA associated vasculitis. However, poor or mixed results have been reported in other autoimmune diseases such as SLE, inflammatory myositis and autoimmune hepatitis. We believe that the poor efficacy of anti-CD20 antibodies for these indications may be due in part to limited antibody exposure in diseased tissue due to the weak tissue-penetrating ability of antibodies.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 — Cell Therapy for Autoimmune Disease Treatment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Opportunity to Harness the Power of CAR T-cell Therapy in Autoimmune Disease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believe the success of cell therapies such as CAR T-cell therapies in oncology has paved the way for the application of cellular therapies in other therapeutics areas, including autoimmune diseases.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first FDA-approved CAR T-cell therapies targeted CD19, a B-cell specific antigen that is highly expressed on B-cell malignancies, such as large B-cell lymphoma. Treatment with CD19 CAR T cells results in depletion of these malignant cells as well as other cells that express CD19, including healthy B cells. Given the role of B cells in multiple autoimmune diseases, we believe it is reasonable to expect that depleting these cells using CD19 CAR T cells may result in therapeutic benefits in a broad range of B-cell-driven autoimmune diseases. The following figure shows the range of B cells targeted by CD19 relative to other targets such as CD20 and BCMA: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145415</wp:posOffset>
            </wp:positionV>
            <wp:extent cx="4834890" cy="22802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348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Proof-of-Concept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treatment of autoimmune disease patients with CD19 CAR T cells has been shown to result in rapid and durable responses in patients who were refractory to other approaches. Recent publications have described a series of case studies in which patients with autoimmune diseases who were refractory to existing therapies were observed to respond favorably to treatment with CD19 CAR T cells. These diseases include SLE, SSc and antisynthetase syndrome, a form of inflammatory myositis.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to Overcome CRS Challenges of CAR T-cell Therapy</w:t>
      </w:r>
    </w:p>
    <w:p>
      <w:pPr>
        <w:spacing w:after="0" w:line="121"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CRS is a systemic inflammatory response that is caused by the large, rapid release of cytokines in the blood by immune cells, which may result in multi-organ failure and death. The development of Grade 3 and above CRS is a serious risk associated with the first approved CD19 CAR T-cell therapy products,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Kymriah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Breyanzi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Increased understanding of the underlying causes of CRS over time has led to the development of CAR T-cell therapies that show a reduction in the frequency of serious CRS. We believe the following factors have the potential to reduce the toxicities associated with CRS and open up the potential for the use of CAR T-cell therapies in indications where previous levels of toxicities would not be broadly tolerated.</w:t>
      </w:r>
    </w:p>
    <w:p>
      <w:pPr>
        <w:spacing w:after="0" w:line="77" w:lineRule="exact"/>
        <w:rPr>
          <w:sz w:val="20"/>
          <w:szCs w:val="20"/>
          <w:color w:val="auto"/>
        </w:rPr>
      </w:pPr>
    </w:p>
    <w:p>
      <w:pPr>
        <w:jc w:val="both"/>
        <w:ind w:left="1080" w:right="320" w:hanging="424"/>
        <w:spacing w:after="0" w:line="26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Improved CAR Constructs</w:t>
      </w:r>
      <w:r>
        <w:rPr>
          <w:rFonts w:ascii="Times New Roman" w:cs="Times New Roman" w:eastAsia="Times New Roman" w:hAnsi="Times New Roman"/>
          <w:sz w:val="18"/>
          <w:szCs w:val="18"/>
          <w:color w:val="auto"/>
        </w:rPr>
        <w:t>. CARs typically contain an extracellular antigen-binding domain, a transmembrane segment,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costimulatory domains, and a CD3z signaling domain. The transformative antitumor activities generated by early CAR T-cell products sparked broad exploration of alternative CARs leading to the identification of CARs that have reduced likelihood of generating serious CRS in clinical applications of CAR T cells.</w:t>
      </w:r>
    </w:p>
    <w:p>
      <w:pPr>
        <w:spacing w:after="0" w:line="81" w:lineRule="exact"/>
        <w:rPr>
          <w:rFonts w:ascii="Times New Roman" w:cs="Times New Roman" w:eastAsia="Times New Roman" w:hAnsi="Times New Roman"/>
          <w:sz w:val="18"/>
          <w:szCs w:val="18"/>
          <w:color w:val="auto"/>
        </w:rPr>
      </w:pPr>
    </w:p>
    <w:p>
      <w:pPr>
        <w:ind w:left="1080" w:right="200" w:hanging="424"/>
        <w:spacing w:after="0" w:line="317" w:lineRule="auto"/>
        <w:tabs>
          <w:tab w:leader="none" w:pos="10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Clinical Experience</w:t>
      </w:r>
      <w:r>
        <w:rPr>
          <w:rFonts w:ascii="Times New Roman" w:cs="Times New Roman" w:eastAsia="Times New Roman" w:hAnsi="Times New Roman"/>
          <w:sz w:val="17"/>
          <w:szCs w:val="17"/>
          <w:color w:val="auto"/>
        </w:rPr>
        <w:t>. With increased experience in treating patients with CAR T cells, clinicians have found that the seriousness of CRS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can be managed in some patients by anti-cytokine treatments, such as tocilizumab, an anti-IL-6 drug, with or without corticosteroids.</w:t>
      </w:r>
    </w:p>
    <w:p>
      <w:pPr>
        <w:spacing w:after="0" w:line="37" w:lineRule="exact"/>
        <w:rPr>
          <w:rFonts w:ascii="Times New Roman" w:cs="Times New Roman" w:eastAsia="Times New Roman" w:hAnsi="Times New Roman"/>
          <w:sz w:val="17"/>
          <w:szCs w:val="17"/>
          <w:color w:val="auto"/>
        </w:rPr>
      </w:pPr>
    </w:p>
    <w:p>
      <w:pPr>
        <w:ind w:left="1080" w:right="20" w:hanging="424"/>
        <w:spacing w:after="0" w:line="257"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Role of Tumor Burden</w:t>
      </w:r>
      <w:r>
        <w:rPr>
          <w:rFonts w:ascii="Times New Roman" w:cs="Times New Roman" w:eastAsia="Times New Roman" w:hAnsi="Times New Roman"/>
          <w:sz w:val="18"/>
          <w:szCs w:val="18"/>
          <w:color w:val="auto"/>
        </w:rPr>
        <w:t>. There is an emerging appreciation of the importance of the tumor burden on the severity of CRS.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relapsed or refractory B-cell acute lymphoblastic leukemia, or B-ALL, with lower tumor burden had lower CRS severity when treated with CD19 CAR T cells compared to those with high tumor burden. We believe this suggests that patients with no tumors may have inherently lower risks of developing serious CRS. Emerging data from published case studies of CD19 CAR T-cell treatment of patients with SLE, SSc and antisynthetase syndrome were observed to have improved tolerability compared to the experience of CD19 CAR T-cell therapies in oncology, and no cases of CRS at a level of Grade 3 or above were reported in the autoimmune patients in such case studies.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to Overcome Manufacturing Constraints of CAR T-cell Therapy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Challenges in the manufacturing of CAR T cells have limited the number of oncology patients who have been able to be treated with cell therapies. The manufacturing of autologous CAR T cells typically takes two to three weeks, but due to shortages in manufacturing capacity and complex logistics, the process can take several months. As the number of patients treated with CAR T cells is rapidly increasing, worldwide capacity to manufacture these therapies has increased and the processes to manufacture these therapies have continued to evolve and become more automated.</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turnaround time from retrieval of the starting cells from patients, a process referred to as apheresis, to the infusion of CAR T cells in patients is critically important for those oncology patients with progressive disease who may have exhausted other treatment options. Most autoimmune diseases, by contrast, are chronic conditions that, despite their seriousness, are less likely to significantly progress while CAR T-cell therapies are manufactured, thereby reducing the critical nature of the turnaround time.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2199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KYV-101, an Autologous CD19 CAR T-cell Product Candidate for Rheumatology and Neurology Indications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developing KYV-101, a fully human CD19 CAR T-cell therapy created using a CAR designed by the NIH to improve tolerability through the use of a fully human CD19 binding domain and optimized hinge and transmembrane domains. We intend to develop KYV-101 in two broad areas of autoimmune disease: rheumatology and neurology. Development of KYV-101 in rheumatology is anchored by two ongoing clinical trials in lupus nephritis, and we are preparing for additional clinical trials of KYV-101 in SSc. We intend to initially focus our neurology development on MS and MG, indications where clinical experience from individual patients treated with KYV-101 have been reported by independent physicians in named patient settings. Apart from our clinical trials, we also continue to provide access to KYV-101 to patients with autoimmune diseases by supplying KYV-101 to third-party investigator-initiated clinical trials and in named patient settings.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Lupus Nephritis Background</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Lupus nephritis is a type of kidney disease that frequently develops in patients with SLE and is a major cause of morbidity and mortality in SLE. SLE is an autoimmune disease that arises when the immune system develops antibodies against common antigens such as double-stranded DNA, or dsDNA, or components of the cell nucleus. About half of adult patients with SLE will develop kidney disease. In lupus nephritis, immune complexes containing autoantibodies, their antigens and other components of the immune system impair the ability of the kidneys to properly filter the blood and regulate fluid levels, leading to excess excretion of serum proteins. This leads to symptoms such as swelling and weight gain due to fluid retention, increased blood pressure and foamy urine due to excess protein. Most patients have protein in their urine, or proteinuria, at the time of diagnosis. These patients can also have signs of blood leakage into the urine and decreased levels of serum albumin.</w:t>
      </w:r>
    </w:p>
    <w:p>
      <w:pPr>
        <w:spacing w:after="0" w:line="189"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The treatment goal in the management of lupus nephritis is to minimize the development of permanent kidney damage typically through the use of immunosuppressants such as glucocorticoids, mycophenolate mofetil and cyclophosphamide to reduce the immune complex driven inflammation. Anti-hypertensive agents such as angiotensin-converting enzyme inhibitors and angiotensin 2 receptors blockers are routinely used to directly reduce urinary protein excretion. Patients who do not respond to initial immunotherapies can be treated with calcineurin inhibitors, including voclosporin, marketed as Lupkynis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Aurinia Pharmaceuticals. However, in a 52-week Phase 3 trial, only 41% of patients achieved complete renal response at week 52 when voclosporin was added on top of standard of care therapy compared to 23% on standard of care only.</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16" w:lineRule="auto"/>
        <w:rPr>
          <w:sz w:val="20"/>
          <w:szCs w:val="20"/>
          <w:color w:val="auto"/>
        </w:rPr>
      </w:pPr>
      <w:r>
        <w:rPr>
          <w:rFonts w:ascii="Times New Roman" w:cs="Times New Roman" w:eastAsia="Times New Roman" w:hAnsi="Times New Roman"/>
          <w:sz w:val="18"/>
          <w:szCs w:val="18"/>
          <w:color w:val="auto"/>
        </w:rPr>
        <w:t>Because autoreactive B cells are a driver of immune complex formation, B-cell targeted therapies are also used to treat patients with lupus nephritis. Rituximab, an anti-CD20 antibody, has been used off-label for over a decade to treat lupus nephritis. Belimumab, marketed as Benlysta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GSK, was the first therapy to be approved by the FDA to specifically treat lupus nephritis. It functions by blocking the differentiation of B cells into antibody-producing plasma cells. However, only 30% patients treated with a combination of Benlysta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standard of care therapies achieved complete renal responses after two years of treatment.</w:t>
      </w:r>
    </w:p>
    <w:p>
      <w:pPr>
        <w:spacing w:after="0" w:line="19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Current treatment strategies remain unsatisfactory in terms of achieving a complete renal response, preventing relapses, avoiding chronic kidney disease, and avoiding progression to end-stage kidney disease. Many patients fail to achieve complete remissions within six months of initiation of approved therapies, resulting in the use of sequential treatments or combination therapies to achieve disease control. Lupus nephritis can progress aggressively, requiring prompt treatment to avoid permanent kidney damage which can arise following a single disease flare. Up to 20% of patients will ultimately develop end-stage kidney disease within the first decade after diagnosis.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Long-term high-dose immunosuppression for the treatment of lupus nephritis is associated with significant treatment toxicity. High-dose glucocorticoids have been shown to lead to neuropsychiatric toxicities, infections, and increased body mass index in lupus nephritis patients. Cyclophosphamide treatment is associated with infertility, urotoxicity and oncogenicity. These toxicities remain when patients are treated with biologics, as these agents are typically added on top of standard of care.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Treatment of lupus nephritis is estimated to cost up to $40,000 a year and these costs escalate to between $115,000 and $200,000 a year for those patients who go on to develop end-stage kidney disease. Lifetime costs for patients on current standard of care are approximately $900,000.</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There are an estimated 160,000 SLE patients in the United States, the European Union and Japan that are diagnosed with lupus nephritis. We estimate that there are up to 40,000 lupus nephritis patients in the United States that are refractory to current therapies.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KYV-101, Designed for Reduced Cytokines and an Improved Therapeutic Profile</w:t>
      </w:r>
    </w:p>
    <w:p>
      <w:pPr>
        <w:spacing w:after="0" w:line="121"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KYV-101 is created using a CAR, referred to as Hu19-CD828Z, that contains a fully human anti-CD19 single-chain fragment variable, or scFV, domain. By contrast, all four of the currently approved CD19 CAR T-cell therapies, Kymriah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Tecartus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Breyanzi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incorporate the scFv portion of murine antibodies as their antigen-recognition domains. These murine domains lead to anti-murine immune responses in treated patients, which results in increased clearance of therapeutic CAR T cells, limiting their expansion and persistence. This anti-murine immune response can lower the efficacy of CAR T cells upon reinfusion should patients require retreatment.</w:t>
      </w:r>
    </w:p>
    <w:p>
      <w:pPr>
        <w:spacing w:after="0" w:line="20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believe anti-murine antibodies may be a more significant problem in the treatment of autoimmune diseases than cancer treatment, potentially due to the hyperactivation of immune cells. In a study published by Combier et al. in </w:t>
      </w:r>
      <w:r>
        <w:rPr>
          <w:rFonts w:ascii="Times New Roman" w:cs="Times New Roman" w:eastAsia="Times New Roman" w:hAnsi="Times New Roman"/>
          <w:sz w:val="18"/>
          <w:szCs w:val="18"/>
          <w:i w:val="1"/>
          <w:iCs w:val="1"/>
          <w:color w:val="auto"/>
        </w:rPr>
        <w:t>The Journal of Rheumatology</w:t>
      </w:r>
      <w:r>
        <w:rPr>
          <w:rFonts w:ascii="Times New Roman" w:cs="Times New Roman" w:eastAsia="Times New Roman" w:hAnsi="Times New Roman"/>
          <w:sz w:val="18"/>
          <w:szCs w:val="18"/>
          <w:color w:val="auto"/>
        </w:rPr>
        <w:t xml:space="preserve"> in June 2020, over 40% of patients with systemic autoimmune diseases treated with rituximab, a murine-based monoclonal antibody, had anti-drug antibodies, compared to 8.6% of rituximab-treated rheumatoid arthritis patients. The presence of anti-drug antibodies led to negative impacts on treatment of patients with SLE, including infusion-related reactions and increased persistence of autoantibodies.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the creation of KYV-101 with Hu19-CD828Z, which contains a fully human scFv domain, has the potential to reduce the likelihood of the development of anti-CAR antibodies, preserving the possibility of retreatment. Autoimmune diseases are often lifelong chronic conditions, raising the possibility that some patients may experience relapse and require retreatment, even after achieving a meaningful clinical response. It is also well-established that there are genetic drivers of autoimmune disease, predisposing some individuals to develop multiple autoimmune diseases, which may require treatment at different times.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33" w:lineRule="auto"/>
        <w:rPr>
          <w:sz w:val="20"/>
          <w:szCs w:val="20"/>
          <w:color w:val="auto"/>
        </w:rPr>
      </w:pPr>
      <w:r>
        <w:rPr>
          <w:rFonts w:ascii="Times New Roman" w:cs="Times New Roman" w:eastAsia="Times New Roman" w:hAnsi="Times New Roman"/>
          <w:sz w:val="18"/>
          <w:szCs w:val="18"/>
          <w:color w:val="auto"/>
        </w:rPr>
        <w:t xml:space="preserve">In addition to a fully human scFv domain, Hu19-CD828Z was also designed with a human CD8α hinge and transmembrane domain, a human CD28 costimulatory domain, and a human CD3z activation domain. In a study published by Alabanza et al. in </w:t>
      </w:r>
      <w:r>
        <w:rPr>
          <w:rFonts w:ascii="Times New Roman" w:cs="Times New Roman" w:eastAsia="Times New Roman" w:hAnsi="Times New Roman"/>
          <w:sz w:val="18"/>
          <w:szCs w:val="18"/>
          <w:i w:val="1"/>
          <w:iCs w:val="1"/>
          <w:color w:val="auto"/>
        </w:rPr>
        <w:t>Molecular Therapy</w:t>
      </w:r>
      <w:r>
        <w:rPr>
          <w:rFonts w:ascii="Times New Roman" w:cs="Times New Roman" w:eastAsia="Times New Roman" w:hAnsi="Times New Roman"/>
          <w:sz w:val="18"/>
          <w:szCs w:val="18"/>
          <w:color w:val="auto"/>
        </w:rPr>
        <w:t xml:space="preserve"> in July 2017, this combination was observed to reduce the levels of cytokine release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 a systematic comparison of CARs created with alternate domain structures, including the FMC63-CD28Z CAR used to create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Importantly, the reduction in cytokine production was not correlated with a diminution in the cytotoxicity of CAR T cells against tumor cells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tumor models in mice.</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illustrations show the structure of Hu19-CD828Z, the same CAR used by us to create KYV-101, and a comparison of Hu19-</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CD828Z to the FMC63-CD28Z 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160020</wp:posOffset>
            </wp:positionV>
            <wp:extent cx="2425700" cy="29146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2570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 of Hu19-CD828Z in Oncology</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Phase 1 trial was conducted by the NIH using CAR T cells created with the Hu19-CD828Z CAR, the same CAR used by us to create KYV-101. In this trial,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in 2020, 20 patients with B-cell lymphoma that had failed a median of four prior lines of therapy were treated with Hu19-CD828Z CAR T cells.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overall remission rate was 70%, with 55% of patients obtaining complete responses, or CRs. Eight of 20 patients were in ongoing CRs at the time of the last follow-up. Ongoing CRs at the time of publication of the results had durations of response ranging from 17 to 35 months. Median event-free survival for all patients was six months.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graph sets forth the event-free survival rate of the 20 B-cell lymphoma patients treated with Hu19-CD828Z CAR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171450</wp:posOffset>
            </wp:positionV>
            <wp:extent cx="3068955" cy="2143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6895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firstLine="440"/>
        <w:spacing w:after="0" w:line="213" w:lineRule="auto"/>
        <w:rPr>
          <w:sz w:val="20"/>
          <w:szCs w:val="20"/>
          <w:color w:val="auto"/>
        </w:rPr>
      </w:pPr>
      <w:r>
        <w:rPr>
          <w:rFonts w:ascii="Times New Roman" w:cs="Times New Roman" w:eastAsia="Times New Roman" w:hAnsi="Times New Roman"/>
          <w:sz w:val="18"/>
          <w:szCs w:val="18"/>
          <w:color w:val="auto"/>
        </w:rPr>
        <w:t>The antitumor results observed with Hu19-CD828Z CAR T cells were comparable to those previously reported in the ZUMA-7 trial of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but there were marked differences in the adverse event profiles for these two CAR T cells.</w:t>
      </w:r>
    </w:p>
    <w:p>
      <w:pPr>
        <w:spacing w:after="0" w:line="19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Patients treated with Hu-19-CD828Z CAR T cells were observed to have significantly lower levels of inflammatory cytokines, such as TNFα and IL-6 than observed at that clinical site with FMC63-28Z CAR T cells. These observations were not based on a single trial of both types of CAR T cells using a standardized protocol and patient population; consequently, the value of such a comparison of alternative therapies is limited. However, we believe that the published comparison of clinical results observed from Hu-19-CD828Z CAR T cell treatment and FMC63-28Z CAR T cell treatment in a highly respected, peer-reviewed journal support our rationale for advancing the Hu19-CD828Z CAR in our clinical development.</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graph shows the reduced levels of inflammatory cytokines observed in oncology patients treated with Hu19-CD828Z CAR T cells in the NIH Phase 1 trial, compared to those observed in patients treated with FMC63-28Z CAR T cells at the same clinic: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8516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Treatment with CAR T cells has also been associated with the development of immune effector cell-associated neurotoxicity syndrome, or ICANS. ICANS can range in seriousness from Grades 1 and 2 toxicities, characterized by mild disorientation of moderately impaired consciousness, to Grades 3 and 4 toxicities, characterized by seizures and life-threatening complications. In the NIH Phase 1 trial, treatment with Hu19-CD828Z CAR T cells resulted in a significantly lower rate of both mild and severe neurotoxicity than previously observed in patients treated with FMC63-CD28Z CAR T cells at the same clinic.</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graph shows the reduced rates of neurotoxicity observed in patients treated with Hu19-CD828Z CAR T cells, compared to patients treated with FMC63-28Z CAR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8599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In this initial clinical trial of Hu19-CD828Z CAR T cells, it was observed that treatment with these cells resulted in lower rates of, and less severe, CRS and neurotoxicity than observed at the same treatment center in a similar trial of FMC63-CD28z CAR T cells, subsequently approved as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while still leading to similar rates of durable antitumor responses. We believe that this favorable profile has the potential to be critical for the application of CAR T-cell therapies in indications such as autoimmune diseases, where there may be lower tolerance for treatment-related serious, and potentially fatal, adverse events.</w:t>
      </w:r>
    </w:p>
    <w:p>
      <w:pPr>
        <w:spacing w:after="0" w:line="20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combination of patient cells, our autologous CAR T-cell manufacturing process, and the underlying Hu19-CD828Z CAR licensed from the NIH results in the product candidate KYV-101 expressing the Hu19-CD828Z CAR. While we do not intend to demonstrate comparability between KYV-101 and the NIH product candidate containing the same underlying CAR, we believe that the differentiated properties of the underlying CAR construct in KYV-101 are critical for the potential success of CAR T cells as autoimmune disease therapies. While we may not be able to use the results from the NIH product candidate in our application for marketing approval to the FDA or other foreign regulatory agencies, we believe that these results reported in a peer-reviewed journal support the differentiated properties of the underlying CAR construct in KYV-101.</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Existing CD19 CAR T Clinical Data</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believe a number of published case study reports describing the use of CD19 CAR T cells for the treatment of autoimmune diseases provide evidence of the potential for KYV-101. A 2021 publication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presented the case of a 20-year-old woman with severe and refractory SLE with lupus nephritis who had been treated with glucocorticoids, mycophenolate mofetil, cyclophosphamide, tacrolimus, rituximab and belimumab, yet her symptoms and autoimmune disease were not suppressed. Rapid remission of symptoms and autoantibody levels as measured by the Systemic Lupus Erythematosus Disease Activity Index, or SLEDAI, Score, were observed in this patient following a single treatment with autologous CD19 CAR T cells. Levels of proteinuria decreased from above 2000 mg of protein per gram of creatine to less than 250 mg of protein per gram of creatine. This patient has been in remission for at least 600 days. Importantly,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this long-term remission was sustained without the use of corticosteroids or other immunosuppressive medications – avoiding the requirement for more potent immunosuppressants and their associated toxicities.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graph shows a rapid reduction in symptoms and autoantibody levels following CAR T-cell therapy observed in a patient with severe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SLE and lupus nephritis refractory to other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160020</wp:posOffset>
            </wp:positionV>
            <wp:extent cx="3977640" cy="30346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97764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subsequent publication in 2022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provides further support for the potential of CD19 CAR T cells for the treatment of SLE with lupus nephritis. All five patients presented in this publication treated with CD19 CAR T cells experienced improvements in SLEDAI-2K scores with scores of zero observed in four patients by three months post treatment and a score of two in one patient due to residual low-level proteinuria, which was likely due to previously accumulated kidney damage.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graph illustrates the improvement of SLE signs and symptoms observed in five patients treated with CD19 CAR T cells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Nature Medicine </w:t>
      </w:r>
      <w:r>
        <w:rPr>
          <w:rFonts w:ascii="Times New Roman" w:cs="Times New Roman" w:eastAsia="Times New Roman" w:hAnsi="Times New Roman"/>
          <w:sz w:val="18"/>
          <w:szCs w:val="18"/>
          <w:color w:val="auto"/>
        </w:rPr>
        <w:t>case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160020</wp:posOffset>
            </wp:positionV>
            <wp:extent cx="3291840" cy="2837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918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Several important observations from this publication provide insight into the potential value of CD19 CAR T-cell therapy.</w:t>
      </w:r>
    </w:p>
    <w:p>
      <w:pPr>
        <w:spacing w:after="0" w:line="127" w:lineRule="exact"/>
        <w:rPr>
          <w:sz w:val="20"/>
          <w:szCs w:val="20"/>
          <w:color w:val="auto"/>
        </w:rPr>
      </w:pPr>
    </w:p>
    <w:p>
      <w:pPr>
        <w:ind w:left="1080" w:right="180" w:hanging="424"/>
        <w:spacing w:after="0" w:line="28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Elimination of autoantibodies</w:t>
      </w:r>
      <w:r>
        <w:rPr>
          <w:rFonts w:ascii="Times New Roman" w:cs="Times New Roman" w:eastAsia="Times New Roman" w:hAnsi="Times New Roman"/>
          <w:sz w:val="18"/>
          <w:szCs w:val="18"/>
          <w:color w:val="auto"/>
        </w:rPr>
        <w:t>. Autoantibodies against common antigens in SLE, such as dsDNA, disappeared from the five patients,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autoantibodies against other antigens.</w:t>
      </w:r>
    </w:p>
    <w:p>
      <w:pPr>
        <w:spacing w:after="0" w:line="60" w:lineRule="exact"/>
        <w:rPr>
          <w:rFonts w:ascii="Times New Roman" w:cs="Times New Roman" w:eastAsia="Times New Roman" w:hAnsi="Times New Roman"/>
          <w:sz w:val="18"/>
          <w:szCs w:val="18"/>
          <w:color w:val="auto"/>
        </w:rPr>
      </w:pPr>
    </w:p>
    <w:p>
      <w:pPr>
        <w:ind w:left="1080" w:right="280" w:hanging="424"/>
        <w:spacing w:after="0" w:line="26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Immune system reset</w:t>
      </w:r>
      <w:r>
        <w:rPr>
          <w:rFonts w:ascii="Times New Roman" w:cs="Times New Roman" w:eastAsia="Times New Roman" w:hAnsi="Times New Roman"/>
          <w:sz w:val="18"/>
          <w:szCs w:val="18"/>
          <w:color w:val="auto"/>
        </w:rPr>
        <w:t>. CAR T cells were observed to expand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treatment, and B cells were rapidly and deeply depleted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initiation of treatment, but all five patients experienced B-cell reconstitution after an average time of 110 days with no relapse of SLE.</w:t>
      </w:r>
    </w:p>
    <w:p>
      <w:pPr>
        <w:spacing w:after="0" w:line="76"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Preservation of vaccination responses</w:t>
      </w:r>
      <w:r>
        <w:rPr>
          <w:rFonts w:ascii="Times New Roman" w:cs="Times New Roman" w:eastAsia="Times New Roman" w:hAnsi="Times New Roman"/>
          <w:sz w:val="18"/>
          <w:szCs w:val="18"/>
          <w:color w:val="auto"/>
        </w:rPr>
        <w:t>. No substantial decline in immune responses against common vaccines, including measles, rubella,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mumps, varicella zoster, hepatitis B, tetanus, diphtheria and pneumococci, were detected compared to baseline.</w:t>
      </w:r>
    </w:p>
    <w:p>
      <w:pPr>
        <w:spacing w:after="0" w:line="60" w:lineRule="exact"/>
        <w:rPr>
          <w:rFonts w:ascii="Times New Roman" w:cs="Times New Roman" w:eastAsia="Times New Roman" w:hAnsi="Times New Roman"/>
          <w:sz w:val="18"/>
          <w:szCs w:val="18"/>
          <w:color w:val="auto"/>
        </w:rPr>
      </w:pPr>
    </w:p>
    <w:p>
      <w:pPr>
        <w:ind w:left="1080" w:right="100" w:hanging="424"/>
        <w:spacing w:after="0" w:line="26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was well tolerated</w:t>
      </w:r>
      <w:r>
        <w:rPr>
          <w:rFonts w:ascii="Times New Roman" w:cs="Times New Roman" w:eastAsia="Times New Roman" w:hAnsi="Times New Roman"/>
          <w:sz w:val="18"/>
          <w:szCs w:val="18"/>
          <w:color w:val="auto"/>
        </w:rPr>
        <w:t>. Either no CRS or only mild CRS was reported for all five patients. Fever (CRS Grade 1) occurred in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five patients, which was successfully treated, and body temperature and heart rate at ten days post-treatment were generally consistent with baseline levels. No cases of ICANS or treatment-related infections were reported.</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rapid depletion of B cells upon initiation of treatment in these patients and subsequently observed naïve B-cell reconstitution suggest that CD19 CAR T-cell therapy could potentially be used to reset the immune system. We believe that the ability to reset the immune system with a single, well-tolerated treatment could provide the opportunity to improve the patient experience for those suffering from lupus nephritis, offering potential long-term benefits without the costs, inconveniences and toxicities associated with repeat treatments of existing therapies.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KYV-101 Clinical Development in Lupus Nephritis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KYV-101 is an autologous CAR T cell generated using the same underlying Hu19-CD828Z CAR used by the NIH in CAR T cells to treat oncology patients. We have initiated two clinical trials of KYV-101 in patients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with lupus nephritis, or LN. KYSA-1 is an open-label, multicenter, U.S.-based trial in which we intend to enroll 12 adult patients with refractory lupus nephritis. The primary endpoints of KYSA-1 are the incidence of adverse events and laboratory abnormalities and the frequency of dose-limiting toxicities. Secondary endpoints of KYSA-1 include characterizing pharmacokinetics and pharmacodynamics, evaluating disease-related biomarkers, evaluating efficacy including Complete Renal Response, or CRR, and time to CRR, and evaluating immunogenicity. KYSA-3 is a similar trial based in Germany where we aim to enroll six to 12 patients in the Phase 1 portion of the trial and up to 20 patients in the Phase 2 portion. The Phase 1 primary endpoints of KYSA-3 are the incidence of adverse events and laboratory abnormalities and the frequency of dose-limiting toxicities; the Phase 2 primary endpoints are the incidence of adverse events and laboratory abnormalities and the CRR rate. Secondary endpoints include evaluating disease-related biomarkers, efficacy, including CRR and time to CRR, and immunogenicity. Both trials are currently enrolling patients: we dosed our first patient in the KYSA-1 trial in July 2023 and we dosed our first patient in the KYSA-3 trial in November 2023.</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chose LN as the initial indication for our clinical development program because of the well-defined patient population and the ability to select objective clinical endpoints to support regulatory approval. While there is significant overlap between SLE and LN patients given that 50% to 75% of SLE patients develop LN during the course of the disease, SLE and its associated SLEDAI-2K scores have historically been known to experience variability in its physician-assessed measures. On the other hand, proteinuria, elevated levels of protein released in urine, serves as a biological marker of LN disease activity and potential renal damage, and provides a more objective clinical endpoint through which we can measure the potential clinical benefits of KYV-101. During the treatment of LN, physicians can screen for proteinuria through Urinary Protein-Creatinine Ratio, or UPCR, in a spot urine sample to score renal activity. Resolution of proteinuria, measured through UPCR, is therefore used as a key component in the quantitative and objective composite endpoint, CRR, which we use as an endpoint for KYSA-1 and KYSA-3. CRR has been accepted as a registration-enabling endpoint for LN clinical trials.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early results available as of December 31, 2023, from the first two adult patients enrolled in our KYSA-1 LN trial and from the first adult patient enrolled in our KYSA-3 LN trial, we observed improvement in UPCR as detailed in the below figure. As a baseline, patient 1 in our KYSA-1 LN trial, diagnosed with SLE nine years prior, had Class IV LN with persistent proteinuria despite treatment with mycophenolate mofetil, cyclophosphamide, tacrolimus, sirolimus, rituximab, belimumab and glucocorticoids. After KYV-101 treatment therapy, patient 1 discontinued immunosuppressive therapy except 10 mg prednisone, which was discontinued on day 31. Patient 2 in our KYSA-1 LN trial, who had SLE for two years prior to treatment, had failed numerous immunosuppressive therapies for persistently active Class IV LN. Treatment with KYV-101 was well tolerated, with Grade 1 CRS on days 5 and 6 for patient 1, and days 10 and 11 for patient 2, which responded to acetaminophen. No ICANS or other serious adverse events were observed. As expected, we observed prolonged CD19+ B-cell depletion following KYV-101 treatment, whereas levels of neutrophils, hemoglobin and platelets were normalized within several weeks. By day 56, evidence of B-cell recovery was observed in patient 1. For patient 1, UPCR improved from 1.5 at baseline to 0.5 by day 56 and improved to below 0.5 by day 120 without glucocorticoids or immunosuppressive therapy. For patient 2, UPCR improved from 3.4 at baseline to 0.6 by around day 30. For patient 1 on the KYSA-3 LN trial, we observed effective CD19+ B-cell depletion following KYV-101 treatment, and UPCR improved from 2.5 at baseline to 1.1 by day 27.</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208280</wp:posOffset>
            </wp:positionV>
            <wp:extent cx="4191635" cy="22542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9163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figure shows anti-dsDNA and complement levels (C3 and C4) which are additional biomarkers used clinically to assess disease activity in lupus. Increase in anti-dsDNA antibodies and a decrease in complement levels may be associated with higher disease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125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in addition to the potential to deliver therapeutic benefits, safety and tolerability are critical factors for the application of CAR T cells to treat chronic diseases such as autoimmune diseases. As of December 31, 2023, three LN patients have been treated with KYV-101 as part of KYSA-1 or KYSA-3. Serious grade CRS and ICANS have not been observed in these patients through that date, consistent with the NIH Phase 1 observations from oncology patients treated with CAR T cells created with the same CAR, as described above under “</w:t>
      </w:r>
      <w:r>
        <w:rPr>
          <w:rFonts w:ascii="Times New Roman" w:cs="Times New Roman" w:eastAsia="Times New Roman" w:hAnsi="Times New Roman"/>
          <w:sz w:val="18"/>
          <w:szCs w:val="18"/>
          <w:i w:val="1"/>
          <w:iCs w:val="1"/>
          <w:color w:val="auto"/>
        </w:rPr>
        <w:t>Potential to overcome CRS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challenges of CAR T therapy”</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Applications of KYV-101 in Other Indications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in the near term to also pursue clinical trials of KYV-101 in systemic sclerosis, myasthenia gravis, and multiple sclerosis.</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40"/>
          </w:cols>
          <w:pgMar w:left="320" w:top="455" w:right="6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Systemic Sclerosis (SSc) Disease Overview</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SSc is a chronic, systemic autoimmune disease with three types of manifestations: vascular injury, immune abnormality characterized by autoantibodies and fibrosis. SSc can affect multiple internal organs in the body, including the lungs, heart, kidneys, joints, muscles, esophagus, stomach and intestines.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One of the most common and earliest symptoms of SSc is the so-called Raynaud phenomenon, which involves decreased blood flow to the extremities in response to cold temperatures. This can lead to temporary finger discoloration, numbness and pain and is also associated with the development of finger ulcers. Other symptoms of SSc include muscle and joint pain, skin tightening and dilated blood vessels that can be seen through the skin. Scarring of internal organs can also lead to gastrointestinal, pulmonary, cardiac and renal disease. Up to 90% of SSc patients develop interstitial lung disease, or ILD, a loss of lung capacity due to fibrosis. A less common but life-threatening complication of SSc is pulmonary arterial hypertension, or PAH, which has emerged as a leading cause of morbidity and mortality. Patients with ILD who develop PAH have a one-year mortality rate of over 60%.</w:t>
      </w:r>
    </w:p>
    <w:p>
      <w:pPr>
        <w:spacing w:after="0" w:line="18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The prevalence of SSc in Europe, the United States and Japan is approximately 200,000. Currently, there are no FDA-approved disease modifying therapies specifically labeled to treat SSc, although therapies have been approved for various organ-specific complications such as ILD and PAH. Immunosuppressants with significant toxicities are commonly used to treat SSc; however, there is a general absence of clinical data to support their use.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Cell-Directed Therapeutic Approaches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Because SSc is believed to be driven by B cells, it has been proposed that rituximab, an anti-CD20 monoclonal antibody, may provide therapeutic benefit. However, clinical results of rituximab in SSc patients have been mixed, with some reports claiming significant benefits and others reporting that the clinical effect achieved with rituximab was not significantly better than with standard of care. The use of CD19 CAR T cells has been proposed as an alternative, based on the hypothesis that the weak activity of anti-CD20 monoclonal antibody treatments is due to insufficient depletion of B cells.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one case report, a patient with SSc having interstitial pneumonia as the main manifestation continued to progress while on glucocorticoid and cyclophosphamide treatment. Treatment with CD19 CAR T cells led to a reduction in cough and improvement in interstitial pneumonia. In another published case report, a patient with treatment-refractory SSc with skin, lung and heart fibrosis and carpal arthritis was treated with CD19 CAR T cells. By three months after treatment, levels of autoantibodies were no longer detectable and lung fibrosis and function remained stable, with cardiac fibrosis and function remaining stable at six months after treatment. Carpal arthritis improved by three months and tender joint counts improved from 22 at baseline to three.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KYV-101 Clinical Development in SSc</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received FDA clearance for an IND for the treatment of SSc with KYV-101 in October 2023, and we are initiating our planned KYSA-5 Phase 1/2 open-label, multicenter, U.S.-based trial to evaluate KYV-101 in adult patients with SSc. We intend to enroll approximately six patients in the Phase 1 portion of the trial and up to 15 patients in the Phase 2 portion of the trial. Phase 1 primary endpoints will be incidence of adverse events and laboratory abnormalities. Phase 2 primary endpoints will be incidence of adverse events and laboratory abnormalities and the Revised Composite Response Index in Systemic Sclerosis, or rCRISS, response rate at 52 weeks. Secondary endpoints include evaluating other efficacy scores, disease related biomarkers, and immunogenicity.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Myasthenia Gravis (MG) Disease Background</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MG is an autoimmune disorder associated with muscle weakness. MG patients develop antibodies that lead to an immunological attack on critical signaling proteins at the junction between nerve and muscle cells, thereby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inhibiting the ability of nerves to communicate properly with muscles. This leads to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However, as the disease progresses, symptom-free periods become less frequent and disease exacerbations can last for months. Disease symptoms reach their maximum levels within two to three years in approximately 80% of patients. Up to 20% of MG patients experience respiratory crisis at least once in their lives. During the crisis phase, decline in respiratory function can become life-threatening. Patients in crisis often require intubation and mechanical ventilation. The prevalence of MG is estimated to be 1 in 5,000, with up to 60,000 cases in the United States.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Over 80% of patients with MG have antibodies to the acetylcholine receptor, or AchR, which is the receptor for the neurotransmitter acetylcholine. The presence of these autoimmune antibodies blocks the signaling from neurons to muscles, which results in outward signs of muscle weakness. The pathology in MG arises not only from the interruption of signal transduction, but also from the physical destruction of the post-synaptic membrane through activation of the complement system, which can lead to complement-driven lysis of the post-synaptic membrane.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Paradigm</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Early-stage MG is symptomatically treated by the use of acetylcholinesterase inhibitors such as pyridostigmine, which block the breakdown of acetylcholine, thereby increasing its concentration. This compensates for some of the loss of receptors due to the autoimmune antibodies targeting AchR. As the disease progresses, patients are typically treated with immunomodulating agents such as glucocorticoids, mycophenolate and cyclosporine, each of which is associated with significant side effects and in some cases lead to disease exacerbation.</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Physicians direct patients with more advanced disease and patients in crisis to therapies that reduce circulating IgG antibodies. Published studies have shown that decreases in circulating IgG antibody levels are correlated with increased relief of symptoms and decreases in the length of hospital stays.</w:t>
      </w:r>
    </w:p>
    <w:p>
      <w:pPr>
        <w:spacing w:after="0" w:line="176"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One method for reducing levels of circulating antibodies is to block the antibody recycling pathway. Antibodies that recognize receptors on the surface of cells are often internalized by these cells into vesicles called endosomes. However, a specific receptor, FcRn, can recognize IgG antibodies and recycle them back out of the cell, thus prolonging their half-life and in the process increasing the overall levels of circulating IgG antibodies.</w:t>
      </w:r>
    </w:p>
    <w:p>
      <w:pPr>
        <w:spacing w:after="0" w:line="2" w:lineRule="exact"/>
        <w:rPr>
          <w:sz w:val="20"/>
          <w:szCs w:val="20"/>
          <w:color w:val="auto"/>
        </w:rPr>
      </w:pPr>
    </w:p>
    <w:p>
      <w:pPr>
        <w:ind w:left="120" w:right="20"/>
        <w:spacing w:after="0" w:line="225" w:lineRule="auto"/>
        <w:rPr>
          <w:sz w:val="20"/>
          <w:szCs w:val="20"/>
          <w:color w:val="auto"/>
        </w:rPr>
      </w:pPr>
      <w:r>
        <w:rPr>
          <w:rFonts w:ascii="Times New Roman" w:cs="Times New Roman" w:eastAsia="Times New Roman" w:hAnsi="Times New Roman"/>
          <w:sz w:val="18"/>
          <w:szCs w:val="18"/>
          <w:color w:val="auto"/>
        </w:rPr>
        <w:t>Blockage of this pathway with efgartigimod alpha, marketed as Vyvgart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Argenx, has been found to result in decreases in circulating antibody levels of up to 70%. Treatment with efgartigimod led to significant improvements in patients as measured by both the Myasthenia Gravis-Specific Activities of Daily Living scale and the Quantitative Myasthenia Gravis score, which measures muscle weakness. However, long-term maintenance of this response has been found to require multiple repeat treatments per year.</w:t>
      </w:r>
    </w:p>
    <w:p>
      <w:pPr>
        <w:spacing w:after="0" w:line="19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another frequently used approach, physicians will administer high levels of IgG antibodies derived from pooled human blood or intravenous immunoglobulin or IVIg. IVIg provides therapeutic benefit through multiple potential mechanisms, including the saturation of the FcRn receptor, which leads to increased degradation of the endogenous autoimmune antibodies. IVIg treatment for MG requires infusions of immunoglobulin isolated from thousands of patients and these infusions are usually repeated daily to obtain significant reductions in symptoms. The large volumes of intravenous fluid associated with the administration of IVIg can lead to pulmonary edema and kidney problems in elderly patients.</w:t>
      </w:r>
    </w:p>
    <w:p>
      <w:pPr>
        <w:spacing w:after="0" w:line="183" w:lineRule="exact"/>
        <w:rPr>
          <w:sz w:val="20"/>
          <w:szCs w:val="20"/>
          <w:color w:val="auto"/>
        </w:rPr>
      </w:pPr>
    </w:p>
    <w:p>
      <w:pPr>
        <w:ind w:left="120" w:right="440" w:firstLine="440"/>
        <w:spacing w:after="0" w:line="224" w:lineRule="auto"/>
        <w:rPr>
          <w:sz w:val="20"/>
          <w:szCs w:val="20"/>
          <w:color w:val="auto"/>
        </w:rPr>
      </w:pPr>
      <w:r>
        <w:rPr>
          <w:rFonts w:ascii="Times New Roman" w:cs="Times New Roman" w:eastAsia="Times New Roman" w:hAnsi="Times New Roman"/>
          <w:sz w:val="18"/>
          <w:szCs w:val="18"/>
          <w:color w:val="auto"/>
        </w:rPr>
        <w:t>Other treatments, such as eculizumab and ravulizumab, marketed as Soliris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Ultomiris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Alexion, respectively, block complement activation and have been approved by the FDA for the treatment of MG and other autoimmune diseases. However, as with efgartigimod, long-term responses require repeat treatments.</w:t>
      </w:r>
    </w:p>
    <w:p>
      <w:pPr>
        <w:spacing w:after="0" w:line="19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believe that targeted destruction of autoantibody-producing B cells offers the potential to lead to rapid reductions in autoantibody levels and through the ability to reset the immune system provide durable benefits without the need for regular retreatments.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Named Patient Case Reports of KYV-101 for Treatment of MG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results of the first MG patient treated with KYV-101 on a named patient basis have been published in </w:t>
      </w:r>
      <w:r>
        <w:rPr>
          <w:rFonts w:ascii="Times New Roman" w:cs="Times New Roman" w:eastAsia="Times New Roman" w:hAnsi="Times New Roman"/>
          <w:sz w:val="18"/>
          <w:szCs w:val="18"/>
          <w:i w:val="1"/>
          <w:iCs w:val="1"/>
          <w:color w:val="auto"/>
        </w:rPr>
        <w:t>Lancet Neurology</w:t>
      </w:r>
      <w:r>
        <w:rPr>
          <w:rFonts w:ascii="Times New Roman" w:cs="Times New Roman" w:eastAsia="Times New Roman" w:hAnsi="Times New Roman"/>
          <w:sz w:val="18"/>
          <w:szCs w:val="18"/>
          <w:color w:val="auto"/>
        </w:rPr>
        <w:t>. The patient was refractory to other treatments and had severe and highly refractory disease, with difficulties swallowing and breathing, the inability to walk without assistive devices and several prior myasthenic crises, resulting in five ICU admissions requiring invasive ventilation in the past 18 months. Following KYV-101 infusion, the patient was not observed to experience any adverse events related to KYV-101 treatment. A 70% reduction in pathogenic autoantibodies was reported at day 62 while protective vaccination IgG titers were maintained. Following treatment with KYV-101, the patient was observed to have improved muscle strength based on enhanced walking ability without any supportive measures, reduction of the clinical multiparameter Besinger disease activity score, and reduction of the quantitative MG (QMG) scores, as shown in the below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146050</wp:posOffset>
            </wp:positionV>
            <wp:extent cx="5212080" cy="23145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00"/>
          </w:cols>
          <w:pgMar w:left="320" w:top="455" w:right="6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The results from a second MG patient treated with KYV-101 on a named patient basis were accepted for presentation as a late-breaking abstract at the 96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of the German Society of Neurology in November 2023, and at the American Academy of Neurology conference in April 2024. Treatment with KYV-101 in this patient was well tolerated, with low-grade CAR T-cell adverse events, including moderate flu-like symptoms consistent with Grade 1-2 CRS readily managed with standard agents and Grade 1 ICANS. After treatment with KYV-101, successful depletion of B cells, reduction in autoantibody levels and recovery of muscle strength were observed. The abstract reports that within two months of treatment with KYV-101 the patient moved from wheelchair dependence to bicycling and at four months of treatment with KYV-101 started mountain touring. The graph below shows the reduction in QMG score observed in the first two MG patients treated with KYV-101 in a named patient treatment across two separate clinical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158115</wp:posOffset>
            </wp:positionV>
            <wp:extent cx="2597150" cy="24174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971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total, six MG patients have been treated with KYV-101 on a named patient basis as of December 31, 2023. While we do not expect to be able to use the results from these case reports in our application for marketing approval to the FDA or other foreign regulatory agencies, we believe that these results reported in a peer-reviewed journal and academic conferences address our mission to prioritize patient needs while providing us insight to help de-risk future Kyverna-sponsored clinical trials.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KYV-101 Clinical Development in MG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received FDA clearance for an IND for the treatment of MG with KYV-101, and are initiating our planned KYSA-6 Phase 2 open-label, multicenter, U.S.-based trial in which we intend to enroll approximately 20 adult patients with MG. Primary endpoints will be incidence and severity of adverse events and laboratory abnormalities and myasthenia gravis activities of daily living score, or MG-ADL, at 24 weeks. Secondary endpoints include evaluating other efficacy scores and disease related biomarkers.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Multiple Sclerosis (MS) Disease Overview</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MS is a chronic disorder of the central nervous system characterized by inflammation-driven neurodegeneration. MS is associated with symptoms that include blurred vision, slurred speech, tremors, numbness, extreme fatigue, and problems with memory and concentration. Most MS patients experience muscle weakness in their extremities and difficulty with coordination and balance. These symptoms may be severe enough to impair walking or even standing. Although MS is not considered to be a fatal disease, it can lead to significant morbidity, including paralysis.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MS is the most common progressive neurologic disease of young adults worldwide. According to the National Multiple Sclerosis Society, over 2.8 million people worldwide and nearly one million people in the United States are living with MS. We estimate that there are over 1.5 million patients diagnosed with MS in the United States, the European Union and Japan.</w:t>
      </w:r>
    </w:p>
    <w:p>
      <w:pPr>
        <w:spacing w:after="0" w:line="176"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A common pathology in MS patients is immune-mediated destruction of the myelin sheath that surrounds and protects nerve cells. While MS is generally thought to be an autoimmune disease, its exact cause is unknown. The FDA has approved over 25 therapies for MS that reduce the immune system attack, decrease the rate of relapses and delay progression of disability. However, to our knowledge, none of the approved therapies are able to reset the immune system to stop disease progression. Initial MS therapy typically involved anti-inflammatory drugs such as corticosteroids that are effective in suppressing inflammatory exacerbations during relapses, but do not alter the long-term outcome of the disease. Most patients are treated with injectable anti-inflammatory treatments such beta interferon that can slow disease progression but are associated with significant side effects. More potent anti-inflammatory drugs such as natalizumab, marketed as Tysabri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Biogen, have been approved to treat MS, but are associated with life-threatening complications.</w:t>
      </w:r>
    </w:p>
    <w:p>
      <w:pPr>
        <w:spacing w:after="0" w:line="203" w:lineRule="exact"/>
        <w:rPr>
          <w:sz w:val="20"/>
          <w:szCs w:val="20"/>
          <w:color w:val="auto"/>
        </w:rPr>
      </w:pPr>
    </w:p>
    <w:p>
      <w:pPr>
        <w:jc w:val="both"/>
        <w:ind w:left="120" w:right="40" w:firstLine="440"/>
        <w:spacing w:after="0" w:line="224" w:lineRule="auto"/>
        <w:rPr>
          <w:sz w:val="20"/>
          <w:szCs w:val="20"/>
          <w:color w:val="auto"/>
        </w:rPr>
      </w:pPr>
      <w:r>
        <w:rPr>
          <w:rFonts w:ascii="Times New Roman" w:cs="Times New Roman" w:eastAsia="Times New Roman" w:hAnsi="Times New Roman"/>
          <w:sz w:val="18"/>
          <w:szCs w:val="18"/>
          <w:color w:val="auto"/>
        </w:rPr>
        <w:t>We believe the FDA approval in 2017 of ocrelizumab, an anti-CD20 monoclonal antibody marketed as Ocrevus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Genentech, provides strong support for the importance of B cells in driving the frequency of relapses and disease progression in MS. However, approximately 18% of ocrelizumab-treated patients still experience relapses and 10% of patients experience disease progression.</w:t>
      </w:r>
    </w:p>
    <w:p>
      <w:pPr>
        <w:spacing w:after="0" w:line="19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CD19 CAR T cells, such as those delivered as part of KYV-101, have the potential to improve patient responses in MS through their ability to deeply penetrate tissues than monoclonal antibodies, increasing the potential to reset the immune system and eliminate pathogenic B cells. A recent publication by Drs. Sasha Gupta and Scott Zamvil of the University of California San Francisco and colleagues describes results from a mouse model that provide further support for the potential benefits of complete B-cell depletion using CD19 CAR T cells in MS.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two MS patients have been treated with KYV-101 on a named patient basis, and these patients experienced no ICANS and only one patient experienced Grade 1 CRS. In addition, in September 2023, Stanford received IND clearance for an investigator-initiated trial of KYV-101 in 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KYV-101 Clinical Development in MS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received FDA clearance for an IND for the treatment of MS with KYV-101 in December 2023, and we are initiating our planned KYSA-7</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Phase 2 open-label, multicenter, U.S.-based trial in which we intend to enroll approximately 120 adult patients with MS. The primary endpoint will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Confirmed Disability Progression, and secondary endpoints include measures of safety, additional efficacy assessments, and disease related biomarkers.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KYV-101 Clinical Development and Named Patient Treatments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14 patients have been dosed with KYV-101, three of which were in Kyverna-sponsored clinical trials, as shown below. Of those 14 patients, 13 have reached day 28 follow-up. The following table sets forth the number of patients currently in progress for treatment with KYV-101 across Kyverna-sponsored clinical trials, investigator-initiated trials and named patient activities.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55"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0313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reports of CRS and ICANS after treatment with CD19 CAR T-cell therapy with KYV-101 in Kyverna-sponsored clinical trials, investigator-initiated trials and named patient activities across six centers for the first 13 patients with 28 day follow-up, compared to published case reports in 15 patients with autoimmune diseases treated at a single center with a CD19 CAR T-cell therapy and three published pivotal clinical trials in oncology patients that led to the approval of CAR T-cell therapies for oncology indications. The CAR in KYV-101 contains a fully human binder whereas the other CD19 CAR T-cell therapies reported in the following table contain murine binders.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491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Based on these reports and results, patients with autoimmune diseases have been observed to tolerate treatment with CAR T-cell therapies without experiencing the Grade 3 and above CRS and ICANS adverse events seen in the oncology trials. These limited observations are derived from separate clinical settings, and with respect to the autoimmune data are based primarily on information from case reports rather than clinical trials. They do not represent head-to-head comparisons of CD19 CAR T-cell treatment in autoimmune indications as compared to oncology indications. Although there is insufficient evidence to claim that CAR T-cell therapy is better tolerated in the treatment of autoimmune disease than oncology, there is no data to suggest that there is a high risk of developing serious grade CRS and ICANS in autoimmune disease. Future clinical trials may not confirm the clinical safety observations discussed in these case reports and studies.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5"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following table sets forth CAR T-related safety events and follow-up for the first thirteen autoimmune patients treated with KYV-101 across six separate sites, either as part of our sponsored KYSA-1 trial, our sponsored KYSA-3 trial, or in an investigator-initiated trial or named patient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1088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CAR related safety events, if encountered, were low grade and readily manageable. There were no serious CRS or ICANS toxicities observed in such patients after being dosed with KYV-101 for the treatment of MG (six patients), lupus nephritis (three patients), MS (two patients), stiff person syndrome, or SPS, and anti-DAGLA encephalitis, or DE. As of December 31, 2023, time since infusion for the first MG patient treated with KYV-101 in a named patient setting was 215 days (approximately seven months) and time since infusion for the first LN patient treated with KYV-101 in the KYSA-1 Phase 1 trial was 160 days (approximately five months). Future clinical results, including in our clinical development program for KYV-101, may not confirm the safety observations discussed in the early clinical data from our trials, investigator-initiated trials and named patient activities.</w:t>
      </w:r>
    </w:p>
    <w:p>
      <w:pPr>
        <w:spacing w:after="0" w:line="1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20"/>
          </w:cols>
          <w:pgMar w:left="320" w:top="455" w:right="5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Our early clinical experience with KYV-101 with regard to dosing and the kinetics of CAR T-cell expansion has benefited from data obtained from an NIH Phase 1 trial of an additional 20 oncology patients who were treated with CAR T cells created using the identical CAR as used in KYV-</w:t>
      </w:r>
    </w:p>
    <w:p>
      <w:pPr>
        <w:spacing w:after="0" w:line="1" w:lineRule="exact"/>
        <w:rPr>
          <w:sz w:val="20"/>
          <w:szCs w:val="20"/>
          <w:color w:val="auto"/>
        </w:rPr>
      </w:pPr>
    </w:p>
    <w:p>
      <w:pPr>
        <w:jc w:val="both"/>
        <w:ind w:left="120" w:right="160" w:hanging="4"/>
        <w:spacing w:after="0" w:line="253"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observed any clinically meaningful differences in the kinetics or the extent of CAR T-cell expansion with KYV-101 compared to the results reported with these prior CAR T cells containing the identical CAR. The following chart sets forth cell expansion of CAR T cells with the same Hu19-CD828z CAR across 28 patients, with 20 DLBCL patients treated with the NIH CAR T cells in the NIH Phase 1 trial and the first eight autoimmune patients treated with KYV-101 in KYSA-1 or in an investigator-initiated trial or named patient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148590</wp:posOffset>
            </wp:positionV>
            <wp:extent cx="2991485" cy="2057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9148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Capabilities and Industrialization of Autologous CAR T-cell Therapies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a robust manufacturing process for KYV-101, and we have partnered with WuXi, an experienced contract development and manufacturing organization, to generate KYV-101 for our near-term Kyverna-sponsored clinical trials, investigator initiated trials and named patient activities.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parallel, we are developing Ingenui-T, a manufacturing process designed to improve patient experience and manufacturing capabilities through partnerships with world-class organizations in cell therapy manufacturing, including ElevateBio, LLC. Ingenui-T represents an industrialization of CAR T-cell therapy manufacturing by adapting industry-leading CAR T manufacturing processes to the needs of autoimmune disease patients. We believe that innovations associated with Ingenui-T will improve manufacturing throughput and quality control and have the potential to achieve industry-leading cost of goods.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Given the reduced criticality of turnaround time in many autoimmune diseases as compared to oncology, we believe that in developing CAR T-cell therapies designed specifically for autoimmunity, we can focus on reducing cost of goods and improving patient experience. Our Ingenui-T process is evaluating potential transformational changes in the manufacturing and administration of CAR T-cell therapies including the process of isolating the starting immune cells from patients, the introduction of the CAR construct, and the expansion of modified cells. We believe that through Ingenui-T we will be able to generate CAR T cells that provide the potential to further optimize the patient experience through modification of the treatment protocols used before and after administration of CAR T cells.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KYV-201, an Allogeneic CD19 CAR T-cell Product Candidate</w:t>
      </w:r>
    </w:p>
    <w:p>
      <w:pPr>
        <w:spacing w:after="0" w:line="12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Over the longer term, we believe that some patients will benefit from an off-the-shelf CD19 CAR T-cell therapy manufactured from healthy donors. To that end, we established a partnership with Intellia to create allogeneic T-cell therapies. Through this partnership, we are developing KYV-201, an allogeneic version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KYV-101 that combines Intellia’s world-leading expertise in gene editing with both our Hu19-CD828Z CAR construct and our broad network of clinical collaborators.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Developing allogeneic CAR T cells has long been a desire in the field of oncology. However, the clinical results obtained to date in oncology have failed to demonstrate equivalence or superiority of allogeneic CAR T cells, which tend to have a short lifespan due to immunological rejection, compared to autologous therapies. Because of these shortcomings compared to autologous therapies and their well-established regulatory pathway, clinical development of CAR T-cell therapies has been primarily focused on autologous T cells.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believe a potential advantage of using allogeneic CAR T cells in autoimmune disease as compared to oncology is that a deep, but transient, suppression of B cells in autoimmune disease may be sufficient to reset the immune system and provide long-term durable responses, rather than requiring prolonged suppression of B cells and correspondingly, a prolonged presence of CAR T cells. Whereas the lack of long-term persistence of allogeneic CAR T cells in oncology patients may be a detriment in oncology treatment, we believe it may have little or no negative impact on outcomes in the treatment of autoimmune diseases.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key to developing allogeneic T cells is twofold: one, to eliminate the ability of the graft cells to attack normal host cells; and, two, to limit the ability of allogeneic T cells to be eliminated by the host immune system before the cells complete their intended therapeutic purpose. Addressing these potential challenges requires overcoming the immune response in two directions. The body’s T cells recognize newcomer cells as foreign if antigens presented to the T-cell receptor, or TCR, have not previously been seen during the T cell maturation process. Allogeneic donor cells, having gone through this maturation process in another individual, can potentially – and damagingly – recognize normal host cells as foreign leading to the development of graft versus host disease, or GvHD. Conversely, the host T cells can potentially recognize the donor T cells as foreign because of differences in individual-person-specific HLA antigens from those expressed on host cells.</w:t>
      </w:r>
    </w:p>
    <w:p>
      <w:pPr>
        <w:spacing w:after="0" w:line="189"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We believe the Intellia technology can address both of these challenges through gene editing. The Intellia approach to preventing GvHD is straightforward: Intellia uses gene editing to eliminate expression of the TCR on donor cells. Preventing the host cells from recognizing donor cells as foreign requires another level of sophistication. Editing out of the HLA antigens could, in principle, make donor cells unrecognizable to the host’s T cells, but it has been shown that the lack of HLA expression is not the ideal solution since eliminating HLA completely triggers host NK cells to recognize and subsequently kill off the donor cells. Instead of completely removing HLA antigens via gene editing, the Intellia approach rather uses gene editing to create a partial knockout of HLA alleles, such that NK cell targeting is avoided, but also to retain enough expression of certain HLA antigens on the donor cells to allow the cells to be recognized as at least a partial match by the host cells and hence not killed off.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illustration describes how eliminating the expression of the TCR and most of the HLA antigens on donor T cells can provide the opportunity to develop allogeneic CAR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131445</wp:posOffset>
            </wp:positionV>
            <wp:extent cx="6694805" cy="33858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9480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this approach has the potential to generate allogeneic CAR T cells that can deliver therapeutic benefits to patients with prevalent autoimmune diseases. In preclinical studies, we have observed that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cytotoxicity and cytokine expression levels of CAR T cells containing the gene edits that are to be incorporated into KYV-201 are roughly equivalent to those obtained using similarly constructed CAR T cells without these gene edits, which we believe suggests that the gene editing process does not adversely affect the target-specific activity of these CAR T cells.</w:t>
      </w:r>
    </w:p>
    <w:p>
      <w:pPr>
        <w:spacing w:after="0" w:line="17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following graphs illustrate that CAR T cells containing KYV-201 gene edits had similar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as CAR T cells created without these gene 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66535" cy="3351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66535" cy="335153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Research-Stage Programs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that treatment of the wide spectrum of autoimmune diseases will over the long run require more than the ability to target B cells with CD19 CAR T-cell therapies. Our research-stage programs are focused on developing product candidates to treat other autoimmune diseases such as inflammatory bowel disease, or IBD, which includes Crohn’s disease and ulcerative colitis. These programs include a suite of capabilities related to T-regs developed through our completed research collaboration with Gilead Sciences, Inc., or Gilead, and novel humanized CAR constructs developed by us for use in autoimmunity. T-regs are a subset of CD4+ T cells that maintain tolerance in the periphery through multiple mechanisms involving both soluble mediators and direct cell-cell interactions. Clinical use of polyclonal, non-engineered T-regs has not yielded optimal therapeutic effects to date in autoimmune disease settings. However, we believe the use of antigen-specific T-regs, possibly through use of a CAR, holds promise by enhancing homing to antigen-specific effector T cells or sites of inflammation. Published reports in multiple pre-clinical animal models of autoimmunity have demonstrated that antigen-specific T-regs are significantly more effective than polyclonal T-regs. We are in the process of preparing a publication that addresses the therapeutic use of T-regs using a CAR and our differentiated approach in this modality.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Collaboration and License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Agreements with the National Institutes of Health</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May 2021, we entered into two patent license agreements, or the NIH Agreements, with the National Institutes of Health, or the NIH, pursuant to which we obtained exclusive, worldwide licenses to certain patents to use a novel, fully human anti-CD19 CAR in our autologous and allogeneic CAR T-cell products for the treatment of patients with autoimmune disease. We paid 50% of the upfront consideration of $3.3 million for acquired licenses in July 2021 and the remaining 50% in May 2022 in accordance with the terms of the NIH Agreements.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Commencing in January 2023 and subsequently on January 1 of each calendar year thereafter until the NIH Agreements terminate, we are required to make minimum annual royalty payments of $0.2 million, which, commencing January 1, 2024, may be credited against any earned royalties due based on a low single-digit percentage of net sales made in a respective year. In addition, benchmark royalties following completion of certain regulatory-and clinical-related benchmarks are due to the NIH, with the minimum cumulative royalty due for the first product reaching FDA approval or foreign-equivalent approval totaling approximately $5.7 million for the autologous patent license agreement and approximately $1.7 million for the allogeneic patent license agreement. Additional benchmark royalties would be payable for a subsequent indication under each NIH Agreement. If we enter into a sublicensing agreement, we are required to pay the NIH a sublicense royalty as a percentage of the fair market value of any consideration received for each sublicense granted. The sublicensing percentage starts at a high teens to low twenties percentage if clinical trials for the product candidate have not yet begun and decreases to a mid-single-digit percentage if the product candidate receives FDA approval or foreign-equivalent approval.</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Unless terminated sooner, the NIH Agreements remain in effect until the last licensed patent rights granted pursuant to the respective agreement expire. We have a unilateral right to terminate the agreements or any licenses in any country or territory upon 60 days’ notice to the NIH. The NIH may terminate the agreements for our uncured material breach, insolvency or bankruptcy, subject to certain notice and cure periods. The NIH also has the right to terminate or modify the NIH Agreements as necessary to meet requirements for public use specified by federal regulations issued after the date of the applicable license, subject to certain notice, cure and appeal periods.</w:t>
      </w:r>
    </w:p>
    <w:p>
      <w:pPr>
        <w:spacing w:after="0" w:line="183" w:lineRule="exact"/>
        <w:rPr>
          <w:sz w:val="20"/>
          <w:szCs w:val="20"/>
          <w:color w:val="auto"/>
        </w:rPr>
      </w:pPr>
    </w:p>
    <w:p>
      <w:pPr>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Under the NIH Agreements, we have agreed to indemnify the NIH from and against all liability, demands, damages, expenses and losses, including but not limited to death, personal injury, illness or property damage in connection with or arising out of the use by us or the design, manufacture, distribution or use of any of the licensed products or licensed processes or materials under the NIH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Intellia License and Collaboration Agreement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December 2021, we entered into a License and Collaboration Agreement, or the Intellia Agreement, with Intellia Therapeutics, Inc., a clinical-stage biotechnology company focused on developing novel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therapeutics leveraging CRISPR-based technologies, or Intellia, to research and develop an allogeneic CD19-directed CAR cell therapy product, or the CRISPR Product, suitable for validation through pre-clinical and clinical proof-of-concept clinical trials, including the performance of activities as agreed in the collaboration plan. Pursuant to the Intellia Agreement, Intellia granted us an exclusive, worldwide, sublicensable in multiple tiers, royalty bearing license under certain of Intellia’s intellectual property to research, develop, sell and otherwise exploit the CRISPR Product. We are performing the majority of the work under the collaboration plan.</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a consideration for the licenses granted to us pursuant to the Intellia Agreement, we issued to Intellia 3,739,515 shares of our Series B Preferred Stock at a price of $1.8719 per share, which was the price paid by other investors in our Series B Preferred Stock financing, for consideration of $7.0 million. Intellia also purchased 1,602,649 shares of Series B Preferred Stock at a price of $1.8719 per share under the Series B Preferred Stock Purchase Agreement in cash for total proceeds to us of $3.0 million. We are also obligated to make aggregate milestone payments to Intellia of up to $64.5 million upon the achievement of specified development and regulatory milestones and are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Intellia Agreement, Intellia owns rights, title and interests in and to any intellectual property developed in the course of performance under the Intellia Agreement that is not specifically directed to the CRISPR Product. We granted to Intellia certain non-exclusive, royalty-free, fully paid-up, worldwide licenses under our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granted Intellia an exclusive option, or the Intellia Option, to enter into a co-development and co-commercialization agreement with us for the CRISPR Product, or the Co-Co Agreement, for a fee payable to us. If Intellia exercises the Intellia Option, we and Intellia would share equally the regulatory and clinical development expenses associated with obtaining approval of the CRISPR Product in the United States and would also share equally all net profits and losses from commercialization of the CRISPR Product in the United States. If Intellia exercises the Intellia Option, no milestone payments will be due and payable from that time forward and we will only pay royalties on sales outside of the United States. In addition, upon exercise of the Intellia Option, following regulatory approval of the CRISPR Product, Intellia will have exclusive commercialization rights for the CRISPR Product for U.S. administration, subject to our rights to co-promote the CRISPR Product in the United States, and we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Intellia Agreement terminates on a country-by-country basis upon the expiration of the last valid claim within Intellia’s patent rights covering the CRISPR Product within such country, unless the agreement is earlier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terminated in its entirety by either party for insolvency, by either party for material breach of contract, by Intellia if we participate in legal action or proceeding challenging the validity or enforceability of Intellia’s patents, or by the execution of the Co-Co Agreement. We may terminate the Intellia Agreement in its entirety, or on a country-by-country basis, by providing a written notice after the expiration or termination of the Intellia Option. Following the expiration of the term for a given country, the licenses granted to us in such country will automatically become fully paid-up, perpetual, irrevocable and royalty-free licenses.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Intellia Agreement, we and Intellia have agreed, subject to certain exceptions, to indemnify each other against any third-party liabilities arising out of (i) any breach of our respective representations, warranties and obligations thereunder, (ii) our respective gross negligence or willful misconduct, or (iii) the research, development or manufacture of the CRISPR Product. We have also agreed, subject to certain exceptions, to indemnify Intellia against any third-party liabilities arising out of the commercialization of the CRISPR Product by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Manufacturing of both autologous and allogeneic cell therapies requires multiple components and is complex, and there are many similarities in the processes for both kinds of therapies. We do not own or operate, and currently have no plans to establish, any manufacturing facilities. We currently contract with third-party contract manufacturing organizations, or CMOs, for the manufacture of any product candidates that we may develop for preclinical and clinical study, and for and critical materials required to be incorporated into the product.</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our Master Services Agreement with WuXi ATU Advanced Therapies Inc., dated March 2022, or the WuXi Agreement, WuXi provides us with certain customized cell manufacturing, release and testing services for our KYV-101 product candidate. Pursuant to our Licence and Supply Agreement with Oxford Biomedica (UK) Limited, or Oxford, dated September 2023, or the Oxford Agreement, Oxford is undertaking lentiviral vector process development services with the intention of providing lentiviral vector for clinical and commercial use in our product candidates. We believe we currently have sufficient clinical-grade vector in inventory to move forward with our anticipated clinical trials.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also developing Ingenui-T, a manufacturing process designed to improve patient experience and manufacturing capabilities through partnerships with world-class organizations in cell therapy manufacturing. Under our Development and Manufacturing Services Agreement with ElevateBio Base Camp, Inc., or ElevateBio, dated July 2023, or the ElevateBio Agreement, ElevateBio is undertaking process development services for the development of a low-cost, fully closed manufacturing process for our CAR T-cell products.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rely on our CMOs for the manufacturing of our product candidates to expedite readiness for future clinical trials, and most of these CMOs have capabilities for commercial manufacturing. All of our manufacturing operations performed by our CMOs are subject to the requirements of current Good Manufacturing Practices, or cGMPs, and, if applicable, the FDA’s current good tissue practice, or cGTP, requirements for the use of human cellular and tissue products, as described in regulations from the FDA, the Code of Federal Regulations, and equivalent regulations in all regions where our clinical candidates are studied.</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clinical trial development progresses forward, we will continue to explore both internal capabilities as well as deepening and expanding external relationships to ensure we meet our manufacturing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not yet defined our sales, marketing or product distribution strategy for our product candidates because they are still in development. Our commercial strategy may include the use of strategic partners, distributors, a contract sales force or the establishment of our own commercial sales force. We plan to further evaluate these alternatives as we approach approval for our product candidates, if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rapid advancing technologies, intense competition and a strong emphasis on proprietary and novel products and product candidates. Our product candidates, if approved, may address multiple markets. Ultimately, the diseases our product candidates target and for which we may receive marketing authorization will determine our competition. There are competing programs under development by other companies for our targeted indication scope, which is B-cell-driven autoimmune diseases. Many emerging and established life sciences companies have been focused on similar therapeutics, including CAR T-cell candidates for B-cell-driven autoimmune disease. Our product candidates, if approved, will have to compete with existing therapies and new therapies that may become available in the future. We face potential competition from many different sources, including larger and better-funded pharmaceutical, biopharmaceutical, biotechnological and therapeutics companies. In many cases, the companies with competing programs will have access to greater financial, technical, manufacturing, marketing, sales and supply resources, will have more expertise and experience than us and may be more advanced in those programs. Moreover, we may also compete with universities and other research institutions that may be active in research in our target indications and could be in direct competition with us. Smaller or early-stage companies may also prove to be significant competitors, particularly through collaborative arrangements with large and established companies.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current and future competition can be grouped into the following broad categories:</w:t>
      </w:r>
    </w:p>
    <w:p>
      <w:pPr>
        <w:spacing w:after="0" w:line="13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working to develop biologics and other modalities, including large pharmaceutical and biotech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Organizations providing stem cell transplant therapies, including hospitals and clinics.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Companies developing biologics and other modalities include Roche Holding AG (currently markets Rituxan (rituximab), which is used for a broad number of autoimmune diseases and Ocrevus (ocrelizumab), both of which target CD20 on B cells), and others who have biologics aimed at other targets relevant to autoimmune diseases, including, for example, AbbVie, Johnson &amp; Johnson, Bristol Myers Squibb and Novartis. In terms of organizations providing stem cell transplant therapies, the procedure for stem cell transplants is non-proprietary and is performed by medical hematologists and oncologists in hospitals and clinics throughout the world.</w:t>
      </w:r>
    </w:p>
    <w:p>
      <w:pPr>
        <w:spacing w:after="0" w:line="18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we successfully obtain approval for any of our product candidates, we believe that the key competitive factors that will affect the success of these candidates will be efficacy, safety, tolerability, convenience, price and the availability of reimbursement from government and other third-party payors relative to such competing products. Our commercial opportunity could be reduced or eliminated if our competitors have products that are superior in one or more of these categories.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Intellectual property, including patents, trade secrets, trademarks and copyrights, is important to our business. Our commercial success depends in part on our ability to obtain and maintain proprietary intellectual property protection for our product candidates,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applications for U.S. and foreign patents relating to our product candidates, technology, inventions and improvements that are important to the development and implementation of our business.</w:t>
      </w:r>
    </w:p>
    <w:p>
      <w:pPr>
        <w:spacing w:after="0" w:line="187"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Our patent portfolio is built with a goal of establishing broad protection that generally includes, for the product candidates, claims directed to compositions of matter, pharmaceutical compositions or formulations, methods of manufacturing and methods of treatment. We are seeking and maintaining patent protection in the United States and key foreign jurisdictions where we intend to market our product candidates, if they are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approved. Our patent portfolio includes a combination of pending patent applications solely owned by us and patents and pending patent applications licensed from the National Institutes of Health, or the NIH. As of January 23, 2024, our patent portfolio comprises nine distinct patent families protecting our technology relating to our product candidates.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in-license a patent family from the NIH relating to the CD19 CAR of our KYV-101 and KYV-201 product candidates. This patent family includes granted U.S. patents that include composition of matter claims. This patent family also includes patents granted in Australia, China, the European Patent Organization (validated in France, Germany, Ireland, Italy, Spain, and the United Kingdom), Hong Kong, Israel, India, Japan, Mexico, Saudi Arabia, and Singapore, and pending patent applications in Australia, Canada, the European Patent Organization, Hong Kong, Israel, India, Japan, South Korea, Mexico, New Zealand, and the United States. The granted patents and the pending patent applications in this patent family, if issued, have a nominal expiration date of 2035, without accounting for any available patent term adjustments or extensions.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With respect to the KYV-101 product candidate, we own two patent families directed to methods of treating autoimmune diseases, such as lupus nephritis, using T cells expressing a CD19 CAR. The first patent family includes a pending international PCT patent application, a pending U.S. utility patent application, and a pending patent application in Taiwan. The second patent family includes a pending international PCT patent application. Patent applications in these patent families, or patent applications claiming priority to them, if issued, would have nominal expiration dates of 2043, without accounting for any available patent term adjustments or extensions. We also own three patent families directed to methods of treating myasthenia gravis, systemic sclerosis, and multiple sclerosis, respectively, using T cells expressing a CD19 CAR. These patent families include pending U.S. provisional patent applications. Patent applications claiming priority to the provisional patent applications in these patent families, if issued, would have nominal expiration dates of 2044, without accounting for any available patent term adjustments or extensions.</w:t>
      </w:r>
    </w:p>
    <w:p>
      <w:pPr>
        <w:spacing w:after="0" w:line="192"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With respect to the KYV-201 product candidate, we own a patent family directed to allogeneic CD19 CAR T cells and methods of producing the allogeneic T cells. This patent family includes two pending U.S. provisional patent applications. Patent applications claiming priority to the provisional patent application, if issued, would have a nominal expiration date of 2044, without accounting for any available patent term adjustments or extensions.</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With respect to manufacture of CAR T cells, we own two patent families directed to methods of producing CAR T cells using specific manufacturing processes. Both patent families include pending U.S. provisional patent applications. Patent applications claiming priority to the provisional patent applications, if issued, would have a nominal expiration date of 2044, without accounting for any available patent term adjustments or extensions.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United States Patent and Trademark Office, or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granted patents we may be granted in any jurisdiction where such extensions are available; however, there is no guarantee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55"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that the applicable authorities, including the FDA in the United States, will agree with our assessment of whether such extensions should be granted, and if granted, the length of such extensions.</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may also rely on trade secrets relating to our discovery programs and product candidates, and seek to protect and maintain the confidentiality of proprietary information to protect aspects of our business that are not amenable to, or that we do not consider appropriate for, patent protection.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Further, we have and will continue to pursue trademark protection for our company name and brand, as well as slogans and taglines and logos. As of December 31, 2023, we owned two registered trademarks in the United States and 15 registered trademarks in foreign jurisdictions comprising or incorporating the term “KYVERNA.” As of December 31, 2023, we owned two registered trademarks in the United States and two registered trademarks in foreign jurisdictions comprising the Kyverna Compass Logo ( </w:t>
      </w:r>
      <w:r>
        <w:rPr>
          <w:sz w:val="1"/>
          <w:szCs w:val="1"/>
          <w:color w:val="auto"/>
        </w:rPr>
        <w:drawing>
          <wp:inline distT="0" distB="0" distL="0" distR="0">
            <wp:extent cx="93980" cy="9398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a biopharmaceutical company that operates in the United States, we are subject to extensive regulation. Our cell products will be regulated as biologics. With this classification, commercial production of our products will need to occur in registered facilities in compliance with cGMP for biologics. The FDA categorizes human cell-or tissue-based products as either minimally manipulated or more than minimally manipulated, and has determined that more than minimally manipulated products require clinical trials to demonstrate product safety and efficacy and the submission of a BLA for marketing authorization. Our products are considered more than minimally manipulated and will require evaluation in clinical trials and the submission and approval of a BLA before we can market them.</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Biological Product Development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biologics under the Federal Food, Drug, and Cosmetic Act, or the FDCA, and the Public Health Service Act, or the PHSA, and their implementing regulations. Biologics are also subject to other federal, state and local statutes and regulations. The process of obtaining regulatory approvals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result in delays to the conduct of a study, regulatory review and approval or subject an applicant to administrative or judicial sanctions. These sanctions could include, among other actions, the FDA’s refusal to approve pending applications, withdrawal of an approval, license suspension or revocation, refusal to allow an applicant to proceed with clinical trials, imposition of a clinical hold,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 Any agency or judicial enforcement action could have a material adverse effect on us.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drug product candidates must be approved by the FDA through the Biologics License Application, or BLA, process before they may be legally marketed in the United States. The process required by the FDA before a biologic may be marketed in the United States generally involves the following:</w:t>
      </w:r>
    </w:p>
    <w:p>
      <w:pPr>
        <w:spacing w:after="0" w:line="81" w:lineRule="exact"/>
        <w:rPr>
          <w:sz w:val="20"/>
          <w:szCs w:val="20"/>
          <w:color w:val="auto"/>
        </w:rPr>
      </w:pPr>
    </w:p>
    <w:p>
      <w:pPr>
        <w:ind w:left="1080" w:right="5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sometimes referred to as preclinical, laboratory tests, animal studies and formulation studies in accordance with applicable regulations, including the FDA’s Good Laboratory Practice, or GLP, regulations and standards;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GCPs, and other clinical trial-related regulations to establish the safety and efficacy of the proposed drug product candidate for its proposed indication;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which includes not only the results of the clinical trials, but also, detailed information on the chemistry, manufacture and quality controls for the product candidate and proposed labeling;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pre-license or pre-approval inspection of the manufacturing facility or facilities where the product is produced to assess compliance with the FDA’s cGMP requirements to assure that the facilities, methods and controls are adequate to preserve the product’s identity, strength, quality, purity and potency, and, if applicable, the FDA’s cGTP requirements for the use of human cell and tissue products;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trial sites and/or clinical trial sites that generated the data in support of the BLA;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prior to any commercial marketing or sale of the product in the United States.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data required to support a BLA is generated in two distinct development stages: preclinical and clinical. The preclinical development stage generally involves laboratory evaluations of drug chemistry, formulation and stability, as well as studies to evaluate toxicity in animals, which support subsequent clinical testing. The conduct of the preclinical studies must comply with federal regulations, including GLPs. The sponsor must submit the results of the preclinical studies together with manufacturing information, analytical data, any available clinical data or literature and a proposed clinical protocol, as well as other information,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product candidate at any time before or during clinical trials due to safety concerns, non-compliance or other issues affecting the integrity of the trial.</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Accordingly, we cannot be sure that submission of an IND will result in the FDA allowing clinical trials to begin, or that, once begun, issues will not arise that could cause the trial to be suspended or terminated.</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NIH Guidelines for Research Involving Recombinant or Synthetic Nucleic Acid Molecules, or the NIH Guidelines. Under the NIH Guidelines, recombinant and synthetic nucleic acids are defined as: (i) molecules that are constructed by joining nucleic acid molecules and that can replicate in a living cell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recombinant nucleic acids); (ii) nucleic acid molecules that are chemically or by other means synthesized or amplified, including those that are chemically or otherwise modified but can base pair with naturally occurring nucleic acid molecules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90"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The clinical stage of development involves the administration of the drug product candidate to healthy volunteers and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7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Clinical trials are generally conducted in three sequential phases, known as Phase 1, Phase 2 and Phase 3, and may overlap. Phase 1 clinical trials generally involve a small number of healthy volunteers who are initially exposed to a single dose and then multiple doses of the drug product candidate. The primary purpose of these clinical trials is to assess the metabolism, pharmacologic action tolerability, adverse effects, safety of the drug product candidate and, if possible, to gain early evidence on effectiveness. 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 Phase 3 clinical trials generally involve large numbers of patients at multiple sites, in multiple countries, and are designed to provide the data necessary to demonstrate the efficacy of the product for its intended use and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 Generally, two adequate and well-controlled Phase 3 clinical trials are required by the FDA for approval of a BLA. In certain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instances, FDA may condition approval of a BLA on the sponsor’s agreement to conduct additional clinical trials to further assess the biologic’s safety and effectiveness after BLA approval. Such post-approval trials are sometimes referred to as Phase 4 clinical trials. These trials are used to gain additional experience from the treatment of patients in the intended therapeutic indication and further document clinical benefit in the case of drugs approved under Accelerated Approval regulations. Failure to exhibit due diligence with regard to conducting Phase 4 clinical trials could result in withdrawal of approval for products or other consequences.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written IND safety reports must be submitted to the FDA and the investigators for serious and unexpected suspected adverse events, findings from other studies suggesting a significant risk to humans exposed to the biologic,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and any clinically important increase in the rate of a serious suspected adverse reaction over that listed in the protocol or investigator brochure.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intervals based on access to certain data from the trial and may halt the clinical trial if it determines that there is an unacceptable safety risk for subjects or other grounds, such as interim data suggesting a lack of efficacy.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product candidate as well as finalize a process for manufacturing the product in commercial quantities in accordance with cGMP requirements. The manufacturing process must be capable of consistently producing quality batches of the drug product candidate and, among other things, must develop methods for testing the identity, strength, quality, potency and purity of the final product. Additionally, appropriate packaging must be selected and tested, and stability studies must be conducted to demonstrate that the drug product candidate does not undergo unacceptable deterioration over its shelf life.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BLA and FDA Review Process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Following trial completion, trial data are analyzed to assess safety and efficacy. The results of preclinical studies and clinical trials are then submitted to the FDA as part of a BLA, along with proposed labeling for the product and information about the manufacturing process and facilities that will be used to ensure product quality, results of analytical testing conducted on the chemistry of the drug product candidate and other relevant information. The BLA is a request for approval to market the biologic for one or more specified indications and must contain proof of safety, purity, potency and efficacy, which is demonstrated by extensive non-clinical and clinical testing. The application may include both negative or ambiguous results of preclinical and clinical trials as well as positive findings. Data may come from company-sponsored clinical trials intended to test the safety and efficacy of a use of a product,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must be obtained before a biologic may be marketed in the United States.</w:t>
      </w:r>
    </w:p>
    <w:p>
      <w:pPr>
        <w:spacing w:after="0" w:line="18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BLA must be accompanied by a significant user fee, which is adjusted on an annual basis. PDUFA also imposes an annual prescription drug product program fee. Fee waivers or reductions are available in certain circumstances, including a waiver of the application fee for the first application filed by a small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Once a BLA has been accepted for filing, which occurs, if at all, sixty days after the BLA’s submission, the FDA’s stated goal is to review BLAs within 10 months of the filing date for standard review or six months of the filing date for priority review, if the application is for a product intended for a serious or life-threatening condition and the product, if approved, would provide a significant improvement in safety or effectiveness. The FDA has substantial discretion in the approval process and may refuse to accept any application or decide that the data are insufficient for approval, and may require additional preclinical, clinical or other studies before it accepts the filing. Additionally, the review process is often significantly extended by FDA requests for additional information or clarification.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After the BLA submission is accepted for filing, the FDA reviews the BLA to determine, among other things, whether the proposed drug product candidate is safe and effective for its intended use, and whether the drug product candidate is being manufactured in accordance with cGMP to assure and preserve the drug product candidate’s identity, strength, quality, purity and potency. The FDA may refer applications for novel drug product candidates or drug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conduct its own analysis of the clinical trial data, which could result in extensive discussions between the FDA and us during the review process. The review and evaluation of a BLA by the FDA is extensive and time consuming and may take longer than originally planned to complete, and we may not receive a timely approval, if at all.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Before approving a BLA, the FDA will conduct a pre-license or pre-approval inspection of the manufacturing facilities for the new product to determine whether the facilities comply with cGMPs and, if applicable, cGTP requirements. The FDA will not approve the product unless it determines that the manufacturing processes and facilities are in compliance with cGMP requirements and adequate to assure consistent production of the product within required specifications. In addition, before approving a BLA, the FDA may also audit data from clinical trials to ensure compliance with GCP requirements. After the FDA evaluates the application, manufacturing process and manufacturing facilities, it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will not be approved in its present form. A Complete Response Letter usually describes the specific deficiencies in the BLA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BLA, addressing all of the deficiencies identified in the letter, withdraw the application or request a hearing. Even if such data and information is submitted, the FDA may ultimately decide that the BLA does not satisfy the criteria for approval. Data obtained from clinical trials are not always conclusive, and the FDA may interpret data differently than we interpret the same data.</w:t>
      </w:r>
    </w:p>
    <w:p>
      <w:pPr>
        <w:spacing w:after="0" w:line="187"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If applicable, the FDA also will not approve the product if we are not in compliance with cGTPs, which are requirements found in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87"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There is no assurance that the FDA will ultimately approve a product for marketing in the United States, and we may encounter significant difficulties or costs during the review process. If a product receives marketing approval, the approval may be significantly limited to specific populations, severities of allergies, and dosages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indications for use may otherwise be limited, which could restrict the commercial value of the product. Furthermore, the FDA may require that certain contraindications, warnings or precautions be included in the product labeling or may condition the approval of the BLA on other changes to the proposed labeling, development of adequate controls and specifications, or a commitment to conduct post-market testing or clinical trials and surveillance to monitor the effects of approved products. For example, the FDA may require Phase 4 testing which involves clinical trials designed to further assess the product’s safety and effectiveness and may require testing and surveillance programs to monitor the safety of approved products that have been commercialized, including long-term follow up for certain cellular products. The FDA may also place other conditions on approvals including the requirement for a Risk Evaluation and Mitigation Strategy, or REMS, to assure the safe use of the product.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based on the results of post-market studies or surveillance programs. Additionally, post-approval, many types of changes to the approved product, such as adding new indications, changing manufacturing processes and adding labeling claims, are subject to further testing requirements and FDA review and approval. Such post-approval requirements can be costly and time-consuming and can affect the potential market and profitability of the product.</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Orphan Designation and Exclusivity</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In January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the FDA intends to continue to apply its longstanding interpretation of the regulations to matters outside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 xml:space="preserve">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nonclinical or clinical data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concurrently with, or at any time after, submission of an IND, and the FDA must determine if the product qualifies for fast track designation within 60 days of receipt of the sponsor’s request. Under the fast track designation,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or review within a six-month timeframe from the date a complete BLA is accepted for filing, if it has the potential to provide a significant improvement in safety and effectiveness compared to available therapies. The FDA will attempt to direct additional resources to the evaluation of an application for a new drug or biological product designated for priority review in an effort to facilitate the review.</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Additionally, a product may be eligible for accelerated approval. An investigational drug may obtain accelerated approval if it treats a serious or life-threatening condition and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biological product receiving accelerated approval perform adequate and well-controlled post-marketing clinical trials and, under the Food and Drug Omnibus Reform Act of 2022, or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Breakthrough Designation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product can be designated as a breakthrough therapy if it is intended to treat a serious or life-threatening condition and preliminary clinical evidence indicates that it may demonstrate substantial improvement over existing therapies on one or more clinically significant endpoints. A sponsor may request that a drug product candidate be designated as a breakthrough therapy concurrently with, or at any time after, the submission of an IND, and the FDA must determine if the drug product candidate qualifies for breakthrough therapy designation within 60 days of receipt of the sponsor’s request. If so designated, the FDA shall act to expedite the development and review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Accelerated Approval for Regenerative Medicine Advanced Therapies</w:t>
      </w:r>
    </w:p>
    <w:p>
      <w:pPr>
        <w:spacing w:after="0" w:line="11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FDA’s regenerative medicine advanced therapy, or RMAT, program is intended to facilitate efficient development and expedite review of regenerative medicine advanced therapies, which are intended to treat, modify, reverse or cure a serious or life-threatening disease or condition. A drug sponsor may request that FDA designate a drug as an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An RMAT that is granted accelerated approval and is subject to post approval requirements may fulfill such requirements through the submission of clinical evidence, clinical studies, patient registries or other sources of real world evidence, such as electronic health records; the collection of larger confirmatory data sets; or post approval monitoring of all patients treated with such therapy prior to its approval.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Pediatric Trials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a BLA or supplement to a BLA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 Furthermore, with some exceptions, requirements under the Pediatric Research Equity Act generally do not apply to a biologic for an indication for which orphan designation has been granted.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Post-Marketing Requirements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Following approval of a new product, a manufacturer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distribution, and tracking and tracing requirements and complying with promotion and advertising requirements, which include, among others, standards for direct-to-consumer advertising, restrictions on promoting products for uses or in patient populations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that are not described in the product’s approved labeling (known as “off-label use”), limitations on industry-sponsored scientific and educational activities and requirements for promotional activities involving the internet. Although physicians may prescribe legally available drugs and biologics for off-label uses, manufacturers may not market or promote such off-label uses.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Modifications or enhancements to the product or its labeling or manufacturing changes are often subject to the approval of the FDA and other regulators, which may or may not be received or may result in a lengthy review process. Prescription drug promotional materials must be submitted to the FDA in conjunction with their first use.</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once a product is approved, its manufacture is subject to comprehensive and continuing regulation by the FDA. The FDA regulations require that products be manufactured in specific approved facilities and in accordance with cGMPs.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Manufacturers are also subject to record requests from FDA that demonstrate cGMP compliance through data and other information.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BLA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BLA, including, among other things, recall or withdrawal of the product from the market.</w:t>
      </w:r>
    </w:p>
    <w:p>
      <w:pPr>
        <w:spacing w:after="0" w:line="19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FDA also may require post-approval testing, sometimes referred to as Phase 4 testing, REMS and post-marketing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are also subject to regulation by numerous regulatory authorities in addition to the FDA, including, in the United States, the Centers for Medicare &amp; Medicaid Services, or CMS, other divisions of the Department of Health and Human Services, or HHS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Office of Inspector General and Office for Civil Rights),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federal and state fraud and abuse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laws, data privacy and security laws, transparency laws and pricing and reimbursement requirements in connection with governmental payor programs, among others.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w:t>
      </w:r>
    </w:p>
    <w:p>
      <w:pPr>
        <w:spacing w:after="0" w:line="27" w:lineRule="exact"/>
        <w:rPr>
          <w:sz w:val="20"/>
          <w:szCs w:val="20"/>
          <w:color w:val="auto"/>
        </w:rPr>
      </w:pPr>
    </w:p>
    <w:p>
      <w:pPr>
        <w:ind w:left="340" w:hanging="224"/>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(ii) additions or modifications to product labeling; (iii) the recall or discontinuation of our products; or</w:t>
      </w:r>
    </w:p>
    <w:p>
      <w:pPr>
        <w:spacing w:after="0" w:line="9"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If any such changes were to be imposed, they could adversely affect the operation of our business.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Patent Term Restoration and Marketing Exclusivity</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drug is eligible for the extension and, among other requirements,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abbreviated approval pathway for biological products shown to be biosimilar to, or interchangeable with, an FDA-licensed reference biological product was created by the Biologics Price Competition and Innovation Act of 2009, or BPCI Act, which was part of the Patient Protection and Affordable Care Act, as amended by the Health Care and Education Reconciliation Act of 2010, or collectively the ACA. This amendment to the PHSA attempts to minimize duplicative animal or human testing. Biosimilarity, which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is generally shown through a combination of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administered multiple times, that the product and the reference product may be switched after one has been previously administered without increasing safety risks or risks of diminished efficacy relative to exclusive use of the reference biological product. However, complexities associated with the larger, and often more complex, structure of biological products as compared to small molecule drugs, as well as the processes by which such products are manufactured, pose significant hurdles to implementation that are still being refined by the FDA.</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reference biological product is granted twelve years of exclusivity from the time of first licensure of the product, and the FDA will not accept an application for a biosimilar or interchangeable product based on the reference biological product until four years after first licensure.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Whether a subsequent application, if approved, warrants exclusivity as the “first licensure” of a biological product is determined on a case-by-case basis with data submitted by the sponsor.</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Pediatric exclusivity is another type of regulatory market exclusivity in the United States. Pediatric exclusivity, if granted, adds six months to existing exclusivity periods and patent terms. This six-month exclusivity, which attaches to the twelve-year exclusivity period for reference biologics, may be granted based on the voluntary completion of a pediatric trial in accordance with an FDA-issued “Written Request” for such a trial.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Pricing and Reimbursement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if approved, will be covered and reimbursed by third-party payors, such as government health programs, commercial insurance and managed healthcare organizations. These third-party payors are increasingly reducing reimbursements for medical products and services. The process for determining whether a third-party payor will provide coverage for a drug product, including a biologic, typically is separate from the process for setting the price of a drug product or for establishing the reimbursement rate that a payor will pay for the drug product once coverage is approved. Third-party payors may limit coverage to specific drug products on an approved list, also known as a formulary, which might not include all of the approved drugs for a particular indication.</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order to secure coverage and reimbursement for any drug product candidate that might be approved for sale, we may need to conduct expensive pharmacoeconomic studies in order to demonstrate the medical necessity and cost-effectiveness of the drug product candidate, in addition to the costs required to obtain FDA or other comparable regulatory approvals. Whether or not we conduct such studies, our drug product candidates may not be considered medically necessary or cost-effective. A third-party payor’s decision to provide coverage for a drug product does not imply that an adequate reimbursement rate will be approved. Third party reimbursement may not be sufficient to enable us to maintain price levels high enough to realize an appropriate return on our investment in product development. In the United States, the principal decisions about reimbursement for new drug products are typically made by CMS, an agency within HHS. CMS decides whether and to what extent a new drug product will be covered and reimbursed under Medicare, and private payors tend to follow CMS to a substantial degree. However, no uniform policy of coverage and reimbursement for drug products exists among third-party payors and coverage and reimbursement levels for drug products can differ significantly from payor to payor. Additionally, one third-party payor’s decision to cover a particular product or service does not ensure that other payors will also provide coverage for the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and state governments, and the prices of drugs, including biologics,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reimbursement for drug products may be reduced compared with the United States. Adoption of price controls and cost-containment measures, and adoption of more restrictive policies in jurisdictions with existing controls and measures, could further limit our net revenue and results. Decreases in third-party reimbursement for our drug product candidate or a decision by a third-party payor to not cover our drug product candidate could reduce physician usage of the drug product candidate and have a material adverse effect on our sales, results of operations and financial condition.</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approved.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will likely continue as countries attempt to manage healthcare expenditures. Historically, products launched in the European Union do not follow price structures of the United States and generally prices tend to be significantly lower.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business operations in the United States and our current and future arrangements with clinical investigators, healthcare providers, consultants, third-party payors and patients may expose us to broadly applicable federal and state fraud and abuse and other healthcare laws and regulations that may constrain the business or financial arrangements and relationships through which we market, sell and distribute any drugs for which we obtain marketing approval. In the United States, these laws include: the federal Anti-Kickback Statute, the False Claims Act, and the Health Insurance Portability and Accountability Act of 1996, or HIPAA.</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Anti-Kickback Statute makes it illegal for any person, including a prescription drug manufacturer (or a party acting on its behalf), to knowingly and willfully solicit, receive, offer or pay any remuneration, directly or indirectly, in cash or in kind,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a person or entity does not need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federal civil False Claims Act.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94"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Although we would not submit claims directly to payors, drug manufacturers can be held liable under the federal civil False Claims Act, which imposes civil penalties, including through civil whistleblower or qui tam actions, against individuals or entities (including manufacturers) for, among other things, knowingly presenting,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causing to be presented to federal programs (including Medicare and Medicaid) claims for items or services, including drugs, that are false or fraudulent, claims for items or services not provided as claimed, or claims for medically unnecessary items or services. Penalties for a False Claims Act violation include three times the actual damages sustained by the government, plus mandatory civil penalties for each separate false claim, the potential for exclusion from participation in federal healthcare programs, and although the federal False Claims Act is a civil statute, conduct that results in a False Claims Act violation may also implicate various federal criminal statutes.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Anti-Kickback Statute are false or fraudulent claims for purposes of the False Claims Act. The federal False Claims Act also permits a private individual acting as a “whistleblower” to bring actions on behalf of the federal government alleging violations of the federal False Claims Act and to share in any monetary recovery. Our future marketing and activities relating to the reporting of wholesaler or estimated retail prices for our products, if approved, the reporting of prices used to calculate Medicaid rebate information and other information affecting federal, state and third-party reimbursement for our products and the sale and marketing of our product candidates, are subject to scrutiny under this law.</w:t>
      </w:r>
    </w:p>
    <w:p>
      <w:pPr>
        <w:spacing w:after="0" w:line="19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we may be subject to data privacy and security regulations by both the federal government and states in which we conduct our business. For example, HIPAA created new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its implementing regulations,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covered entities, which include certain health care providers, health plans and healthcare clearinghouses,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and other personal data in certain circumstances, some of which are more stringent or otherwise different than HIPAA and many of which differ from each other in significant ways and may not have the same effect, thus complicating compliance efforts. Failure to comply with these laws, where applicable, can result in the imposition of significant civil and criminal penalties.</w:t>
      </w:r>
    </w:p>
    <w:p>
      <w:pPr>
        <w:spacing w:after="0" w:line="19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Further, the federal Physician Payments Sunshine Act, or the Sunshine Act, within the ACA, and its implementing regulations, require that certain manufacturers of drugs, devices, biological and medical supplies for which payment is available under Medicare, Medicaid or the Children’s Health Insurance Program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certain exceptions) report annually to CMS information related to certain payments or other transfers of value made or distributed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become subject to federal government price reporting laws, which would require us to calculate and report complex pricing metrics in an accurate and timely manner to government programs, as well as federal consumer protection and unfair competition laws, which broadly regulate marketplace activities and activities that potentially harm consumers.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Some state laws require pharmaceutical companies to comply with the pharmaceutical industry’s voluntary compliance guidelines and the relevant federal government compliance guidance, and require drug manufacturers to report information related to payments and other transfers of value to physicians and other healthcare providers or marketing expenditures.</w:t>
      </w:r>
    </w:p>
    <w:p>
      <w:pPr>
        <w:spacing w:after="0" w:line="18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order to distribute products commercially, we must comply with federal and state laws relating to drug supply chain traceability and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Federal laws require the implementation of systems to provide, capture, and maintain information about transactions involving drug products distributed within the United States and the trading partners who engaged in such transactions.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7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of drugs from government funded healthcare programs, such as Medicare and Medicaid and the curtailment or restructuring of our operations, any of which could adversely affect our ability to operate our business and our financial results.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Ensuring business arrangements comply with applicable healthcare laws, as well as responding to possible investigations by government authorities can be time-and resource-consuming, and can divert a company’s attention from the business.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Current and Future Legislation</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example, in 2010, the ACA was enacted in the United States. The ACA includes measures that have significantly changed, and are expected to continue to significantly change, the way healthcare is financed by both governmental and private insurers. Among the provisions of the ACA of greatest importance to the pharmaceutical industry are that the ACA:</w:t>
      </w:r>
    </w:p>
    <w:p>
      <w:pPr>
        <w:spacing w:after="0" w:line="81" w:lineRule="exact"/>
        <w:rPr>
          <w:sz w:val="20"/>
          <w:szCs w:val="20"/>
          <w:color w:val="auto"/>
        </w:rPr>
      </w:pPr>
    </w:p>
    <w:p>
      <w:pPr>
        <w:ind w:left="1080" w:right="60" w:hanging="424"/>
        <w:spacing w:after="0" w:line="261"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several changes to the Medicaid Drug Rebate Program, including increasing pharmaceutical manufacturers’ rebate liability by raising the minimum basic Medicaid rebate on average manufacturer price, or AMP, on most branded prescription drugs and adding a new rebate calculation for “line extensions”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new formulations, such as extended release formulations) of solid oral dosage forms of branded products, as well as potentially impacting their rebate liability by modifying the statutory definition of AMP;</w:t>
      </w:r>
    </w:p>
    <w:p>
      <w:pPr>
        <w:spacing w:after="0" w:line="85"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requirement on manufacturers of branded drugs to provide a 70% point-of-sale discount as a condition for a manufacturer’s outpatient drugs being covered under Medicare Part 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a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entities eligible for discounts under the 340B Drug Discount Program;</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an annual, nondeductible fee on any entity that manufactures or imports certain branded prescription drugs, apportioned among these entities according to their market share in certain government healthcare programs; and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Patient-Centered Outcomes Research Institute to oversee, identify priorities in and conduct comparative clinical effectiveness research, along with funding for such research. The research conducted by the Patient-Centered Outcomes Research Institute may affect the market for certain pharmaceutical products. The ACA established the Center for Medicare and Medicaid Innovation within CMS to test innovative payment and service delivery models to lower Medicare and Medicaid spending, potentially including prescription drug spending.</w:t>
      </w:r>
    </w:p>
    <w:p>
      <w:pPr>
        <w:spacing w:after="0" w:line="183"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w:t>
      </w:r>
    </w:p>
    <w:p>
      <w:pPr>
        <w:spacing w:after="0" w:line="131" w:lineRule="exact"/>
        <w:rPr>
          <w:sz w:val="20"/>
          <w:szCs w:val="20"/>
          <w:color w:val="auto"/>
        </w:rPr>
      </w:pPr>
    </w:p>
    <w:p>
      <w:pPr>
        <w:ind w:left="1080" w:right="120" w:hanging="424"/>
        <w:spacing w:after="0" w:line="281" w:lineRule="auto"/>
        <w:tabs>
          <w:tab w:leader="none" w:pos="10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Budget Control Act of 2011 and subsequent legislation, among other things, created measures for spending reductions by Congress that include aggregate reductions of Medicare payments to providers of 2% per fiscal year, which remain in effect through the first half of 2032.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69" w:lineRule="exact"/>
        <w:rPr>
          <w:rFonts w:ascii="Times New Roman" w:cs="Times New Roman" w:eastAsia="Times New Roman" w:hAnsi="Times New Roman"/>
          <w:sz w:val="17"/>
          <w:szCs w:val="17"/>
          <w:color w:val="auto"/>
        </w:rPr>
      </w:pPr>
    </w:p>
    <w:p>
      <w:pPr>
        <w:ind w:left="1080" w:right="40" w:hanging="424"/>
        <w:spacing w:after="0" w:line="261"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Taxpayer Relief Act of 2012, which, among other things, further reduced Medicare payments to several providers and increased the statute of limitations period for the government to recover overpayments to providers from three to five years. Any reduction in reimbursement from Medicare or other government programs may result in a similar reduction in payments from private payors, which may adversely affect our future profitability.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1"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request access to certain IND products that have completed a Phase 1 clinical trial and that are undergoing investigation for FDA approval. There is no obligation for a pharmaceutical manufacturer to make its drug products available to eligible patients as a result of the Right to Try Act.</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2019, CMS published a final rule to allow Medicare Advantage Plans the option of using step therapy for Part B drugs beginning January 1, 2020.</w:t>
      </w:r>
    </w:p>
    <w:p>
      <w:pPr>
        <w:spacing w:after="0" w:line="162"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In addition,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assistance programs and reform government program reimbursement methodologies for drugs. President Biden has issued multiple executive orders that have sought to reduce prescription drug costs. In February 2023, HHS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7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Various industry stakeholders, including certain pharmaceutical companies and the Pharmaceutical Research and Manufacturers of America have initiated lawsuits against the federal government asserting that the price negotiation provisions of the IRA are unconstitutional.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In January 2024, FDA authorized Florida’s Agency for Health Care Administration’s drug importation program, which is the first step toward Florida facilitating importation of certain prescription drugs from Canada. Authorization of other state programs may follow.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and may affect our overall financial condition and ability to develop product candidates.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Foreign Corrupt Practices Act</w:t>
      </w:r>
    </w:p>
    <w:p>
      <w:pPr>
        <w:spacing w:after="0" w:line="11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 / Rest of World Government Regulation</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may be subject to a variety of regulations in other jurisdictions that we may in the future select, which may govern, among other things, clinical trials and any commercial sales and distribution of our products. Whether or not we obtain FDA approval of a product, we would need to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GCPs and the applicable regulatory requirements and the ethical principles that have their origin in the Declaration of Helsinki.</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or biological product under EU regulatory systems, we must submit an MAA. The application used to file the BLA in the United States is similar to that required in the EU, with the exception of, among other things, country-specific document requirements.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p>
    <w:p>
      <w:pPr>
        <w:spacing w:after="0" w:line="176"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Union General Data Protection Regulation</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to EU regulations related to the approval and commercialization of our products, we may be subject to the EU’s General Data Protection Regulation, or GDPR. The GDPR imposes stringent requirements for controllers and processors of personal data of persons in the EU, including, for example, more robust disclosures to individuals and a strengthened individual data rights regime, shortened timelines for data breach notifications, limitations on retention of information, increased requirements pertaining to special categories of data, such as health data and additional obligations when we contract with third-party processors in connection with the processing of the personal data. The GDPR also imposes strict rules on the transfer of personal data out of the European Union to the United States and other third countries. In addition, the GDPR provides that EU member states may make their own further laws and regulations limiting the processing of personal data, including genetic, biometric or health data.</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GDPR applies extraterritorially, and we may be subject to the GDPR because of our data processing activities that involve the personal data of individuals located in the European Union, such as in connection with our EU clinical trials. Failure to comply with the requirements of the GDPR and the applicable national data protection laws of the EU member states may result in fines of up to €20,000,000 or up to 4% of the total worldwide annual turnover of the preceding financial year, whichever is higher, and other administrative penalties. GDPR regulations may impose additional responsibility and liability in relation to the personal data that we process, and we may be required to put in place additional mechanisms to ensure compliance with the new data protection rules.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we had 84 employees, all of whom were full-time. Of those, 67 were engaged in research and development activities. All of our employees are located in the United States. We do not have any employees that are represented by a labor union or covered under a collective bargaining agreement. We consider our relationship with our employees to be good.</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attract, develop and retain key personnel, maintain our culture and ensure diversity and inclusion in our board, management and broader workforce. Our human resources objectives include, as applicable, identifying, recruiting, retaining, incentivizing and integrating our existing and prospective employees. The principal purposes of our equity incentive plans are to attract, retain and motivate selected employees, consultants and directors through the granting of stock-based compensation awards. As these areas directly impact our ability to compete and innovate, they are key focus areas for our board of directors and senior executives.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 and Facilities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currently lease approximately 33,000 square feet of space as our primary headquarters in Emeryville, California. The lease expires in January 2027, with an option for us to extend the term until January 2030. We believe that our existing facility is adequate to meet our current needs, and that suitable additional alternative spaces will be available in the future on commercially reasonable terms.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60"/>
          </w:cols>
          <w:pgMar w:left="320" w:top="455" w:right="5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June 2018 under the name BAIT Therapeutics, Inc., and changed our name to Kyverna Therapeutics, Inc. in October 2019. Our principal executive offices are located at 5980 Horton St., STE 550, Emeryville, CA 94608, and our telephone number is (510)</w:t>
      </w: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925-2492. Our website address is </w:t>
      </w:r>
      <w:r>
        <w:rPr>
          <w:rFonts w:ascii="Times New Roman" w:cs="Times New Roman" w:eastAsia="Times New Roman" w:hAnsi="Times New Roman"/>
          <w:sz w:val="18"/>
          <w:szCs w:val="18"/>
          <w:i w:val="1"/>
          <w:iCs w:val="1"/>
          <w:color w:val="auto"/>
        </w:rPr>
        <w:t>https://kyvernatx.com/.</w:t>
      </w:r>
      <w:r>
        <w:rPr>
          <w:rFonts w:ascii="Times New Roman" w:cs="Times New Roman" w:eastAsia="Times New Roman" w:hAnsi="Times New Roman"/>
          <w:sz w:val="18"/>
          <w:szCs w:val="18"/>
          <w:color w:val="auto"/>
        </w:rPr>
        <w:t xml:space="preserve"> We do not incorporate the information on, or accessible through, our website into this prospectus, and you should not consider any information on, or accessible through, our website as part of this prospectus. We have included our website address in this prospectus solely as an inactive textual reference.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certain biographical and other information regarding our directors and executive officers as of December 31, 2023.</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08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6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71"/>
        </w:trPr>
        <w:tc>
          <w:tcPr>
            <w:tcW w:w="54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60" w:type="dxa"/>
            <w:vAlign w:val="bottom"/>
            <w:tcBorders>
              <w:top w:val="single" w:sz="8" w:color="auto"/>
            </w:tcBorders>
          </w:tcPr>
          <w:p>
            <w:pPr>
              <w:spacing w:after="0"/>
              <w:rPr>
                <w:sz w:val="14"/>
                <w:szCs w:val="14"/>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Maag, Ph.D.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Jones</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 Borie, M.D., Ph.D.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President, Research and Development</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Chung, M.D., Ph.D.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2"/>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Walker</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Ian Clark</w:t>
            </w:r>
            <w:r>
              <w:rPr>
                <w:rFonts w:ascii="Times New Roman" w:cs="Times New Roman" w:eastAsia="Times New Roman" w:hAnsi="Times New Roman"/>
                <w:sz w:val="25"/>
                <w:szCs w:val="25"/>
                <w:color w:val="auto"/>
                <w:vertAlign w:val="superscript"/>
              </w:rPr>
              <w:t>(1)</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Chairperson and Director</w:t>
            </w: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Fred E. Cohen, M.D., D.Phil.</w:t>
            </w:r>
            <w:r>
              <w:rPr>
                <w:rFonts w:ascii="Times New Roman" w:cs="Times New Roman" w:eastAsia="Times New Roman" w:hAnsi="Times New Roman"/>
                <w:sz w:val="25"/>
                <w:szCs w:val="25"/>
                <w:color w:val="auto"/>
                <w:vertAlign w:val="superscript"/>
              </w:rPr>
              <w:t>(1)(2)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Brian Kotzin, M.D.</w:t>
            </w:r>
            <w:r>
              <w:rPr>
                <w:rFonts w:ascii="Times New Roman" w:cs="Times New Roman" w:eastAsia="Times New Roman" w:hAnsi="Times New Roman"/>
                <w:sz w:val="25"/>
                <w:szCs w:val="25"/>
                <w:color w:val="auto"/>
                <w:vertAlign w:val="superscript"/>
              </w:rPr>
              <w:t>(3)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Steve Liapis, Ph.D.</w:t>
            </w:r>
            <w:r>
              <w:rPr>
                <w:rFonts w:ascii="Times New Roman" w:cs="Times New Roman" w:eastAsia="Times New Roman" w:hAnsi="Times New Roman"/>
                <w:sz w:val="25"/>
                <w:szCs w:val="25"/>
                <w:color w:val="auto"/>
                <w:vertAlign w:val="superscript"/>
              </w:rPr>
              <w:t>(2)(3)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Beth Seidenberg, M.D.</w:t>
            </w:r>
            <w:r>
              <w:rPr>
                <w:rFonts w:ascii="Times New Roman" w:cs="Times New Roman" w:eastAsia="Times New Roman" w:hAnsi="Times New Roman"/>
                <w:sz w:val="25"/>
                <w:szCs w:val="25"/>
                <w:color w:val="auto"/>
                <w:vertAlign w:val="superscript"/>
              </w:rPr>
              <w:t>(1)(2)</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58"/>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K. Spiegelman</w:t>
            </w:r>
            <w:r>
              <w:rPr>
                <w:rFonts w:ascii="Times New Roman" w:cs="Times New Roman" w:eastAsia="Times New Roman" w:hAnsi="Times New Roman"/>
                <w:sz w:val="26"/>
                <w:szCs w:val="26"/>
                <w:color w:val="auto"/>
                <w:vertAlign w:val="superscript"/>
              </w:rPr>
              <w:t>(3)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0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brief biographies describing the backgrounds of our executive officers and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Peter Maag, Ph.D. </w:t>
      </w:r>
      <w:r>
        <w:rPr>
          <w:rFonts w:ascii="Times New Roman" w:cs="Times New Roman" w:eastAsia="Times New Roman" w:hAnsi="Times New Roman"/>
          <w:sz w:val="18"/>
          <w:szCs w:val="18"/>
          <w:color w:val="auto"/>
        </w:rPr>
        <w:t>has served as our Chief Executive Officer since October 2022. Dr. Maag is a seasoned global industry executive with a track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of transforming organizations and more than 20 years of executive management experience in the pharmaceutical and diagnostic industry. Prior to joining Kyverna, Dr. Maag was Executive Chairman of CareDx, Inc. (Nasdaq: CDNA) from November 2020 to November 2021 and Chief Executive Officer and President of CareDx from October 2012 to November 2020, where he built the company from a small start-up into a public company and industry-leading transplantation company through a series of BD&amp;L and financing transactions. Prior to joining CareDx, Dr. Maag held multiple positions at Novartis with increasing responsibilities. As President, Novartis Diagnostics, he drove growth and innovation in its blood-screening business. Prior to that, he led one of Novartis’ key affiliates as country president, Germany, and lived in a dynamically growing market as Country President, Korea. At headquarters in Switzerland, he served as the head of strategy for Novartis Pharmaceuticals and helped launch the Infectious Diseases franchise. Prior to joining Novartis, Dr. Maag worked at McKinsey &amp; Company in New Jersey and Germany, focusing on pharmaceuticals and globalization strategies. In addition to supporting various healthcare and tech companies in their growth efforts, he holds board and advisory positions at Phoenix Pharma SE, CareDx, Inc. (Nasdaq: CDNA), and the Personalized Medicine Coalition. He previously served on the board of directors of MiroMatrix Medical Inc. (Nasdaq: MIRO) from June 2021 until it was acquired by United Therapeutics Corporation in December 2023. Dr. Maag received his PhD from the University of Berlin, Germany, and studied pharmaceutical sciences in Heidelberg and London.</w:t>
      </w:r>
    </w:p>
    <w:p>
      <w:pPr>
        <w:spacing w:after="0" w:line="19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believe Dr. Maag’s position as our Chief Executive Officer as well as his extensive experience in the pharmaceuticals and life sciences industries provides him with the qualifications and skills to serve on our board of directors.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Ryan Jones </w:t>
      </w:r>
      <w:r>
        <w:rPr>
          <w:rFonts w:ascii="Times New Roman" w:cs="Times New Roman" w:eastAsia="Times New Roman" w:hAnsi="Times New Roman"/>
          <w:sz w:val="18"/>
          <w:szCs w:val="18"/>
          <w:color w:val="auto"/>
        </w:rPr>
        <w:t>has served as our Chief Financial Officer since January 2023. Mr. Jones joined Kyverna’s founding team in 2018 and brings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experience in healthcare and life sciences. Prior to joining Kyverna, Mr. Jones was on the New Business Creation team at GE Ventures, where he focused on launching and financing new companies in cell engineering and healthcare technologies. Before joining GE Ventures, Mr. Jones led the technical development and launch of multiple next-generation DNA sequencing products as a Staff Engineer at Thermo Fisher Scientific Inc. (Life Technologies, Ion Torrent division) (NYSE: TMO). Prior to that, he was a Staff Scientist on the founding team at Nanosense, a DARPA-funded biosensor company. Mr. Jones is a co-inventor on five issued patents in biosensors and DNA sequencing. He has also served as a Board Observer for multiple companies founded by GE Ventures, including Menlo Microsystems, Inc., Drawbridge Health (acquired by Thorne Health), and Evidation Health, Inc. Mr. Jones holds a Bachelor’s degree in Biophysics and History from the University of Pennsylvania and an MBA from Harvard Business School.</w:t>
      </w:r>
    </w:p>
    <w:p>
      <w:pPr>
        <w:spacing w:after="0" w:line="188" w:lineRule="exact"/>
        <w:rPr>
          <w:sz w:val="20"/>
          <w:szCs w:val="20"/>
          <w:color w:val="auto"/>
        </w:rPr>
      </w:pPr>
    </w:p>
    <w:p>
      <w:pPr>
        <w:ind w:left="120" w:right="20" w:firstLine="44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Dominic Borie, M.D., Ph.D. </w:t>
      </w:r>
      <w:r>
        <w:rPr>
          <w:rFonts w:ascii="Times New Roman" w:cs="Times New Roman" w:eastAsia="Times New Roman" w:hAnsi="Times New Roman"/>
          <w:sz w:val="18"/>
          <w:szCs w:val="18"/>
          <w:color w:val="auto"/>
        </w:rPr>
        <w:t>has served as our President, Research and Development since October 2022. Prior to that, he served as our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President and a member of our board of directors from January 2020 to October 2022. Dr. Borie is an accomplished immunologist and digestive tract and liver transplant surgeon with extensive experience in drug development. He joined Kyverna from Horizon Therapeutics Public Ltd Co. (Nasdaq: HZNP), where he served as Vice-President and Head, External Research and Development. From 2005 through 2018, Dr. Borie held leadership positions at Genentech, Inc., Amgen Inc. (Nasdaq: AMGN), and Roche Holding AG. While at Genentech, Dr. Borie was Senior Medical Director in the Product Development Immunology group where he contributed to the design, implementation and monitoring of global clinical trials for inflammation-related diseases such as inflammatory bowel diseases. During the latter part of his tenure at Genentech, Dr. Borie was Associate Group Medical Director, Global Head of Anti-CD20 Immunology and filed two sBLAs leading to new indications for Rituxan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orphan diseases (pemphigus vulgaris and granulomatosis with polyangiitis). Dr. Borie joined Genentech from Amgen where he served as Medical Director and Global Development Leader for Inflammation. He started his career in industry at Roche as Director of Transplantation Research before transitioning to Translational Medicine roles for immune diseases. Prior to the transition to industry, Dr. Borie was in academia at Stanford University as the Director, Transplantation Immunology Laboratory. During this time, Dr. Borie was a key contributor to the validation of JAK inhibition as a new immunomodulatory approach, culminating in the approval of a new molecule for rheumatoid arthritis patients. Dr. Borie was previously a digestive surgery and liver transplantation attending surgeon at Pitie-Salpetriere Hospital, Assistance Publique in Paris, France. Dr. Borie has an extensive publication history with over 50 publications in peer-reviewed journals, 10 book chapters, and four issued patents. Dr. Borie received his Ph.D. in transplantation immunology from the University of Paris V – Descartes and his M.D., Master’s degree in Immunology, and Certificate of Immunology and Immunopathology from the University of Paris XII.</w:t>
      </w:r>
    </w:p>
    <w:p>
      <w:pPr>
        <w:spacing w:after="0" w:line="202" w:lineRule="exact"/>
        <w:rPr>
          <w:sz w:val="20"/>
          <w:szCs w:val="20"/>
          <w:color w:val="auto"/>
        </w:rPr>
      </w:pPr>
    </w:p>
    <w:p>
      <w:pPr>
        <w:ind w:left="120" w:right="180" w:firstLine="44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James Chung, M.D., Ph.D. </w:t>
      </w:r>
      <w:r>
        <w:rPr>
          <w:rFonts w:ascii="Times New Roman" w:cs="Times New Roman" w:eastAsia="Times New Roman" w:hAnsi="Times New Roman"/>
          <w:sz w:val="18"/>
          <w:szCs w:val="18"/>
          <w:color w:val="auto"/>
        </w:rPr>
        <w:t>has served as our Chief Medical Officer since April 2021. Dr. Chung brings extensive biopharmaceutical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working across the entire drug development process focused on autoimmune diseases. He has dedicated a significant part of his career working in translational medicine and early development. Dr. Chung joined Kyverna from Amgen Inc. (Nasdaq: AMGN), where he most recently was Executive Medical Director, head of Inflammation and Neuroscience, Global Medical Organization, and Global Development Leader for Enbrel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He joined Amgen in 2004 in Medical Sciences/Early Development advancing inflammation programs from first-in-human to proof-of-concept, eventually serving as the Early Development Inflammation Therapeutic Area Head leading a team of physician-scientists, biomarker scientists, and clinical study managers. In 2013, he transitioned to late-stage Global Development and then in 2015 to Amgen’s Global Medical Organization where he held numerous positions of increasing responsibility, including therapeutic area head for Inflammation, Nephrology, and Neuroscience, where he was responsible for the development and execution of medical strategies for a portfolio of marketed drugs and near-launch molecules. Prior to Amgen, Dr. Chung began his industry career as an Associate Director in Clinical Sciences at Pfizer Inc. (NYSE: PFE), where he served as the Early Clinical Leader for several early development programs in inflammation. Prior to joining industry, Dr. Chung was Instructor of Medicine in the Division of Rheumatology at the University of</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Pennsylvania where he also completed his residency in Internal Medicine and fellowship in Rheumatology. He obtained his M.D. and Ph.D. in Immunology at the University of Pennsylvania and BA in Biology at Harvard College.</w:t>
      </w:r>
    </w:p>
    <w:p>
      <w:pPr>
        <w:spacing w:after="0" w:line="158" w:lineRule="exact"/>
        <w:rPr>
          <w:sz w:val="20"/>
          <w:szCs w:val="20"/>
          <w:color w:val="auto"/>
        </w:rPr>
      </w:pPr>
    </w:p>
    <w:p>
      <w:pPr>
        <w:ind w:left="120" w:firstLine="44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Karen Walker </w:t>
      </w:r>
      <w:r>
        <w:rPr>
          <w:rFonts w:ascii="Times New Roman" w:cs="Times New Roman" w:eastAsia="Times New Roman" w:hAnsi="Times New Roman"/>
          <w:sz w:val="18"/>
          <w:szCs w:val="18"/>
          <w:color w:val="auto"/>
        </w:rPr>
        <w:t>has served as our Chief Technology Officer since September 2021. Ms. Walker has broad and deep industry experience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biopharmaceuticals and cell and gene therapy, or CGT, products. She brings extensive and pioneering expertise in the product development, manufacturing, and supply of cell-based therapies and associated analytics. Ms. Walker has several decades of biotech industry experience, holding positions in Technical Development, Regulatory Affairs, and Quality at a number of companies including Roche Holding AG (SIX: ROG), Genentech, Inc., Seagen Inc., formerly Seattle Genetics (Nasdaq: SGEN), Novartis AG (NYSE: NVS, SIX: NOVN), Amgen Inc. (Nasdaq: AMGN), Bayer AG (FWB: BAYN), Bristol-Myers Squibb Co (NYSE: BMY), and several other small to mid-sized biotech companies. Prior to joining Kyverna, Ms. Walker was a Senior Advisor, Cell and Gene Therapy Manufacturing at Roche/Genentech from 2019 to 2021. In this position, she was instrumental in developing and implementing the strategy for CGT manufacturing and controls into the Roche/Genentech organization. Prior to Roche/Genentech, Ms. Walker was Vice President of Global Quality at Seagen Inc., where she oversaw and directed the Global Quality Organization in the United States and Europe from 2017 to 2019. Previously, she was Vice President and Global Head of Cell and Gene Therapy Technical Development and Manufacturing for Novartis’ CGT Unit from 2016 to 2017. There, she led the Chemistry, Manufacturing, and Controls teams through the formation of the strategies and execution of those strategies to develop KYMRIAH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(tisagenlecleucel) through the pivotal trial stage and to filing of the first CAR-T Biologics License Application in pediatric acute lymphoblastic leukemia. During her time at Novartis and continuing to the present, Ms. Walker has been a strong and leading voice in the establishment of industry standardization and contributed to influence emerging regulatory guidances in the area of CGT products globally. Ms. Walker holds a Bachelor’s degree from St. Olaf College. She is a member of numerous pharmaceutical industry trade organizations, including the Alliance for Regenerative Medicines Cell Therapy Manufacturing Committee, DeLoitte Industry Working Group for Advanced Therapy Medicinal Products, or ATMPs, Parenteral Drug Association, or PDA, PDA Biologics Advisory Board, where she was vice chair from 2018 to 2020, and the PDA ATMP Working Group.</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Ian Clark </w:t>
      </w:r>
      <w:r>
        <w:rPr>
          <w:rFonts w:ascii="Times New Roman" w:cs="Times New Roman" w:eastAsia="Times New Roman" w:hAnsi="Times New Roman"/>
          <w:sz w:val="18"/>
          <w:szCs w:val="18"/>
          <w:color w:val="auto"/>
        </w:rPr>
        <w:t>has served as Chairperson of our board of directors and as a member of our board of directors since September 2021. Mr. Clark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35 years of experience in the biotechnology and pharmaceutical industry, most recently serving as Chief Executive Officer and member of the board of directors for Genentech, Inc., until his retirement in December 2016. During his seven-year tenure as Chief Executive Officer of Genentech, Mr. Clark and his team brought eleven new medicines to market for patients with rheumatoid arthritis, idiopathic pulmonary fibrosis and various types of cancer. Prior to that, Mr. Clark served as the Executive Vice President and Chief Marketing Officer of the Roche Group from April 2009 to December 2009. Prior to his time at the Roche Group, Mr. Clark held several senior management positions at Genentech Inc. from January 2003 to March 2009, including Head of Global Product Strategy, Chief Marketing Officer, Senior Vice President, General Manager of BioOncology and Executive Vice President, Commercial Operations. Prior to joining Genentech, Mr. Clark spent 23 years in the biopharmaceutical industry holding several positions of increasing responsibility at Novartis AG (NYSE: NVS, SIX: NOVN), Sanofi (Nasdaq: SNY), Ivax and Searle, working in the USA, United Kingdom, Canada, Eastern Europe and France. Currently, Mr. Clark is on the board of directors of several public biopharmaceutical and biotechnology companies: Takeda Pharmaceutical Company Limited (NYSE: TAK), Corvus Pharmaceuticals, Inc. (Nasdaq: CRVS), Guardant Health, Inc. (Nasdaq: GH), Olema Pharmaceuticals, Inc. (Nasdaq: OLMA) and Avrobio, Inc. (Nasdaq: AVRO). Mr. Clark previously served on the boards of Agios Pharmaceuticals, Inc. (Nasdaq: AGIO), Forty Seven Inc., Shire Pharmaceuticals, Inc., Kite Pharma, Inc., TerraVia Holdings, Inc., Gyroscope Therapeutics Limited, Dendreon Pharmaceuticals LLC and Vernalis (R&amp;D) Limited. He was also on the Board of Biotechnology Industry Association, on the BioFulcrum Board of the Gladstone Institute and on the Economic Advisory Council of the 12th District of the Federal Reserve. In addition, he served as an advisor to Blackstone Life Sciences, formerly Clarus Ventures,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LLC, a venture capital firm, from September 2017 to September 2020, as well as to Perella Weinberg Partners LP and Lazard Ltd. Mr. Clark received his Bachelor of Science in Biological Sciences and an Honorary Doctorate of Science from Southampton University in the United Kingdom.</w:t>
      </w:r>
    </w:p>
    <w:p>
      <w:pPr>
        <w:spacing w:after="0" w:line="14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believe Mr. Clark is qualified to serve on our board of directors because of his vast experience in the biopharmaceutical industry, combined with his experience serving on the boards of directors of successful, high-growth public and private companies.</w:t>
      </w:r>
    </w:p>
    <w:p>
      <w:pPr>
        <w:spacing w:after="0" w:line="15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Fred E. Cohen, M.D., D.Phil. </w:t>
      </w:r>
      <w:r>
        <w:rPr>
          <w:rFonts w:ascii="Times New Roman" w:cs="Times New Roman" w:eastAsia="Times New Roman" w:hAnsi="Times New Roman"/>
          <w:sz w:val="18"/>
          <w:szCs w:val="18"/>
          <w:color w:val="auto"/>
        </w:rPr>
        <w:t>has served as a member of our board of directors since September 2018. Since November 2017, Dr. Cohen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a Senior Managing Director of Vida Ventures, a venture capital firm that he co-founded in 2017. Dr. Cohen has also served as a co-founder and Chairman of Monograph Capital Partners, a biotechnology venture capital fund, since July 2021. Dr. Cohen currently serves as a Senior Advisor to TPG, where he previously served as a Partner and founder of TPG Biotechnology, a life science venture capital fund, from 2001 to 2016. Dr. Cohen was also a co-founder and executive chairperson of privately held Cell Design Labs, which was acquired by Gilead Sciences, Inc. (Nasdaq: GILD) in December 2017. From 1980 through 2014, Dr. Cohen was at the University of California, San Francisco (UCSF), where he held various responsibilities as a research scientist, an Internist for hospitalized patients, a consulting Endocrinologist, and as the Chief of the Division of Endocrinology and Metabolism. Dr. Cohen’s research interests included structure based drug design, prion diseases, computational biology and heteropolymer chemistry. Dr. Cohen has published over 200 peer reviewed articles, participated as a co-inventor on over 10 patents and has served as an editor or editorial board member of several international scientific journals. Dr. Cohen received his Bachelor of Science degree in Molecular Biophysics and Biochemistry from Yale University, his D.Phil. in Molecular Biophysics from the University of Oxford on a Rhodes Scholarship, his MD from Stanford University and his postdoctoral training and postgraduate medical training in Internal Medicine and Endocrinology at UCSF. He is a Fellow of the American College of Physicians and the American College of Medical Informatics and a member of the American Society for Clinical Investigation and Association of American Physicians. Dr. Cohen has received several awards for his work including a Searle Scholarship, Young Investigator Awards from the Endocrine Society and the Western Society for Clinical Investigation, and the LVMH Science pour l’art prize (shared with Stanley Prusiner). Dr. Cohen was elected to the National Academy of Medicine in 2004 and the American Academy of Arts and Sciences in 2008. Dr. Cohen currently serves on the Board of Directors of several biotechnology and pharmaceutical organizations, including CareDx, Inc. (Nasdaq: CDNA), Progyny, Inc. (Nasdaq: PGNY), Intellia Therapeutics, Inc. (Nasdaq: NTLA) and UroGen Pharma Ltd. (Nasdaq: URGN). He is a past member of the boards of Quintiles Transnational (merged with IQVIA Holdings (NYSE: IQV)), Biocryst (Nasdaq: BCRX), Genomic Health (acquired by Exact Sciences Corp.) (Nasdaq: GHDX), Tandem Diabetes Care, Inc. (Nasdaq: TNDM), Five Prime Therapeutics, Inc. (Nasdaq: FPRX, acquired by Amgen Inc.), Roka Biosciences (Nasdaq: ROKA), and Veracyte, Inc. (Nasdaq: VCYT).</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believe Dr. Cohen is qualified to serve on our board of directors because of his extensive experience in the biotechnology industry, including providing strategic advice and oversight to biopharmaceutical companies, as well as his financial and medical knowledge and experience.</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Brian Kotzin, M.D. </w:t>
      </w:r>
      <w:r>
        <w:rPr>
          <w:rFonts w:ascii="Times New Roman" w:cs="Times New Roman" w:eastAsia="Times New Roman" w:hAnsi="Times New Roman"/>
          <w:sz w:val="18"/>
          <w:szCs w:val="18"/>
          <w:color w:val="auto"/>
        </w:rPr>
        <w:t>has served as a member of our board of directors since August 2019. Dr. Kotzin brings experience including more than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of academic research and 19 years of executive leadership at life science companies. Dr. Kotzin is a Board of Directors member at Rigel Pharmaceuticals Inc. (Nasdaq: RIGL), Biora Therapeutics, Inc. (Nasdaq: BIOR) and Genascence, Inc. Dr. Kotzin previously served as a member of the board of directors of Vera Therapeutics, Inc. (Nasdaq: VERA). Dr. Kotzin served as Senior Vice President for Nektar Therapeutics (Nasdaq: NKTR) from April 2017 to June 2023, and has held various leadership positions at Nektar, including serving as Chief Medical Officer and Head of Clinical Development from January 2021 to September 2021 and again from May 2022 to June 2023. From 2004 to 2015, Dr. Kotzin was Vice President, Global and Clinical Development and Head, Inflammation Therapeutic Area at Amgen Inc. (Nasdaq: AMGN), directing the global development efforts for product candidates in the inflammation area. During his employment at Amgen, Dr. Kotzin also served as Vice President of Translational Sciences and Head of Medical Sciences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5"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from 2006 to 2011. Prior to entering the life sciences industry, he held several positions from 1981 to 2004 as a professor and faculty member at the University of Colorado Health Sciences Center, where his research focused on the immunopathogenesis of autoimmune and inflammatory diseases. He received a doctorate in medicine from Stanford University and a bachelor’s degree in mathematics from the University of Southern California.</w:t>
      </w:r>
    </w:p>
    <w:p>
      <w:pPr>
        <w:spacing w:after="0" w:line="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Dr. Kotzin has held leadership roles at several national organizations, including as a member of the American College of Rheumatology (ACR) Board of Directors, Member and Chairperson of the NIH Immunological Sciences Study Section, Chairperson of the NIH Autoimmunity Centers of Excellence, and Member of the Board of Directors for the Federation of Clinical Immunology Societies. He is currently an elected Master of the ACR.</w:t>
      </w:r>
    </w:p>
    <w:p>
      <w:pPr>
        <w:spacing w:after="0" w:line="18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believe Dr. Kotzin is qualified to serve on our board of directors because of his extensive academic research experience in immunology and experience as a senior executive and board member for life sciences companies.</w:t>
      </w:r>
    </w:p>
    <w:p>
      <w:pPr>
        <w:spacing w:after="0" w:line="158"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Steve Liapis, Ph.D. </w:t>
      </w:r>
      <w:r>
        <w:rPr>
          <w:rFonts w:ascii="Times New Roman" w:cs="Times New Roman" w:eastAsia="Times New Roman" w:hAnsi="Times New Roman"/>
          <w:sz w:val="17"/>
          <w:szCs w:val="17"/>
          <w:color w:val="auto"/>
        </w:rPr>
        <w:t>has served as a member of our board of directors since November 2022. Dr. Liapis is a Principal at Northpond Ventures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where he focuses on biotechnology platforms and therapeutics and leads Northpond’s newco incubation efforts with the Wyss Institute at Harvard and the School of Engineering at MIT. Dr. Liapis is a board director at Garuda Therapeutics, Incendia Therapeutics, Walking Fish Therapeutics, Totus Medicines, Opna Bio, and Aro Biotherapeutics, and is a board observer at Ori Biotech. Previously, Dr. Liapis was Director of Portfolio Decision Resources at Sanofi (Nasdaq: SNY), where he led global strategy and resource prioritization for Sanofi Oncology. Prior to Sanofi, Dr. Liapis was Head of Strategy at Arbor Biotechnologies and served in leadership positions at L.E.K. Consulting where he focused on research and development and commercial strategy for immuno-oncology as well as advanced therapeutic modalities including gene therapy, gene editing, and cell therapy. Dr. Liapis holds a Ph.D. in molecular biology from Harvard University where he trained in the laboratory of Dr. John Rinn, focusing on the discovery and molecular characterization of novel long noncoding RNAs (lncRNAs), as well as identifying the role of lncRNAs in disease pathogenesis. He also holds a Master’s Degree in genetics and plant biology from Yale University and an undergraduate degree in environmental science from Stockton College.</w:t>
      </w:r>
    </w:p>
    <w:p>
      <w:pPr>
        <w:spacing w:after="0" w:line="17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believe Dr. Liapis is qualified to serve on our board of directors because of his vast experience in biotechnology platforms and therapeutics and focus on the areas of global, research and development and commercial strategy.</w:t>
      </w:r>
    </w:p>
    <w:p>
      <w:pPr>
        <w:spacing w:after="0" w:line="158" w:lineRule="exact"/>
        <w:rPr>
          <w:sz w:val="20"/>
          <w:szCs w:val="20"/>
          <w:color w:val="auto"/>
        </w:rPr>
      </w:pPr>
    </w:p>
    <w:p>
      <w:pPr>
        <w:ind w:left="120" w:right="4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Beth Seidenberg, M.D. </w:t>
      </w:r>
      <w:r>
        <w:rPr>
          <w:rFonts w:ascii="Times New Roman" w:cs="Times New Roman" w:eastAsia="Times New Roman" w:hAnsi="Times New Roman"/>
          <w:sz w:val="18"/>
          <w:szCs w:val="18"/>
          <w:color w:val="auto"/>
        </w:rPr>
        <w:t>has served as a member of our board of directors since September 2018. Dr. Seidenberg is a managing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Westlake Village BioPartners, a venture capital firm she founded in September 2018. Since May 2005, Dr. Seidenberg has been a general partner at Kleiner Perkins Caufield &amp; Byers, LLC, a venture capital firm, where she has primarily focused on life sciences investing. Dr. Seidenberg was previously the Senior Vice President, Head of Global Development and Chief Medical Officer at Amgen, Inc. (Nasdaq: AMGN). In addition,</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Dr. Seidenberg was a senior executive in research and development at Bristol Myers Squibb Company (NYSE: BMY) and Merck &amp; Co., Inc. (NYSE: MRK). From February 2008 to September 2019, Dr. Seidenberg served as a director of Epizyme, Inc. Dr. Seidenberg served on the boards of directors of TESARO, Inc., ARMO BioSciences, Inc. and Atara Biotherapeutics, Inc. (Nasdaq; ATRA). from June 2011 to January 2019, December 2012 to June 2018 and August 2012 to June 2023, respectively. Dr. Seidenberg serves on the boards of directors of Vera Therapeutics, Inc. (Nasdaq: VERA), Progyny, Inc. (Nasdaq: PGNY) and several privately held life sciences companies. Dr. Seidenberg holds a Bachelor of Arts degree in biology and anthropology from Barnard College and attended medical school at the University of Miami School of Medicine. She completed her medical residency at Johns Hopkins University and George Washington University, and Fellowship at the National Institutes of Health.</w:t>
      </w:r>
    </w:p>
    <w:p>
      <w:pPr>
        <w:spacing w:after="0" w:line="18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believe Dr. Seidenberg is qualified to serve on our board of directors because of her training as a physician and her experience in the life sciences industry as a senior executive and venture capitalist who has incubated and invested in over twenty-five biotechnology ventures.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Daniel K. Spiegelman </w:t>
      </w:r>
      <w:r>
        <w:rPr>
          <w:rFonts w:ascii="Times New Roman" w:cs="Times New Roman" w:eastAsia="Times New Roman" w:hAnsi="Times New Roman"/>
          <w:sz w:val="17"/>
          <w:szCs w:val="17"/>
          <w:color w:val="auto"/>
        </w:rPr>
        <w:t>has served as a member of our board of directors since April 2021. Mr. Spiegelman has over 25 years of Biotech finance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Mr. Spiegelman was most recently Chief Financial Officer and Executive Vice President of BioMarin Pharmaceutical Inc. (Nasdaq: BMRN), a biotechnology company focused on developing, manufacturing and commercializing treatments for rare genetic disorders, from 2012 to</w:t>
      </w:r>
    </w:p>
    <w:p>
      <w:pPr>
        <w:spacing w:after="0" w:line="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2020. Mr. Spiegelman oversaw growth from $500M in revenues to $2.0B in revenues with sales in 70 countries and from $4B market cap to $15B. Prior to BioMarin, Mr. Spiegelman served as Chief Financial Officer and Senior Vice President of CV Therapeutics, Inc. for 11 years from 1998 through its sale in 2009 to Gilead Sciences, Inc. From July 1991 to January 1998, Mr. Spiegelman served in various roles at Genentech, Inc. (now a member of the Roche Group) most recently as Treasurer. Mr. Spiegelman currently provides consulting and board services to various life sciences companies. He currently serves as a member of the board of directors and audit committee chair of Myriad Genetics (Nasdaq: MYGN), Spruce Biosciences (Nasdaq: SPRB) and Opthea Limited (Nasdaq: OPT), and serves on the board of directors of several private biotechnology companies, including Tizona Therapeutics, Inc. and Maze Therapeutics Inc. Mr. Spiegelman also serves as venture partner at Samsara BioCapital. Mr. Spiegelman received his Master’s in Business Administration from the Stanford Graduate School of Business and a Bachelor’s in Economics from Stanford University.</w:t>
      </w:r>
    </w:p>
    <w:p>
      <w:pPr>
        <w:spacing w:after="0" w:line="17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believe Mr. Spiegelman is qualified to serve on our board of directors because of his important expertise in finance in the healthcare industry based on his extensive experience in several senior finance positions at major pharmaceutical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the number of directors that shall constitute the whole board of directors shall be determined by resolution of our board of directors. Currently our board of directors consists of seven members: Peter Maag, Ph.D., Ian Clark, Fred E. Cohen, M.D., D.Phil., Brian Kotzin, M.D., Steve Liapis, Ph.D., Beth Seidenberg, M.D. and Daniel K. Spiegelman.</w:t>
      </w:r>
    </w:p>
    <w:p>
      <w:pPr>
        <w:spacing w:after="0" w:line="176" w:lineRule="exact"/>
        <w:rPr>
          <w:sz w:val="20"/>
          <w:szCs w:val="20"/>
          <w:color w:val="auto"/>
        </w:rPr>
      </w:pPr>
    </w:p>
    <w:p>
      <w:pPr>
        <w:ind w:left="120" w:right="120" w:firstLine="440"/>
        <w:spacing w:after="0" w:line="270" w:lineRule="auto"/>
        <w:rPr>
          <w:sz w:val="20"/>
          <w:szCs w:val="20"/>
          <w:color w:val="auto"/>
        </w:rPr>
      </w:pPr>
      <w:r>
        <w:rPr>
          <w:rFonts w:ascii="Times New Roman" w:cs="Times New Roman" w:eastAsia="Times New Roman" w:hAnsi="Times New Roman"/>
          <w:sz w:val="17"/>
          <w:szCs w:val="17"/>
          <w:color w:val="auto"/>
        </w:rPr>
        <w:t>Certain members of our board of directors were elected under the provisions of our Amended and Restated Voting Agreement entered into in November 2021, or the Voting Agreement, which will terminate upon the closing of this offering. Under the terms of the Voting Agreement, the stockholders who are party to the Voting Agreement have agreed to vote their respective shares to elect: (i) one director designated by Westlake BioPartners Fund I, L.P., currently Beth Seidenberg, M.D.; (ii) one director designated by Vida Ventures, LLC, currently Fred E. Cohen, M.D., D.Phil.;</w:t>
      </w:r>
    </w:p>
    <w:p>
      <w:pPr>
        <w:spacing w:after="0" w:line="3" w:lineRule="exact"/>
        <w:rPr>
          <w:sz w:val="20"/>
          <w:szCs w:val="20"/>
          <w:color w:val="auto"/>
        </w:rPr>
      </w:pPr>
    </w:p>
    <w:p>
      <w:pPr>
        <w:ind w:left="120" w:hanging="4"/>
        <w:spacing w:after="0" w:line="251" w:lineRule="auto"/>
        <w:tabs>
          <w:tab w:leader="none" w:pos="4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designated by Gilead Sciences, Inc., currently vacant; (iv) one director designated by Northpond Ventures III, LP, currently Steve Liapis, Ph.D., (v) our Chief Executive Officer, Peter Maag, Ph.D.; and (vi) up to four directors who are industry representatives, not otherwise affiliated with or employed by any of our investors, and mutually acceptable to the other members of our board of directors, currently Brian Kotzin, M.D., Daniel K. Spiegelman and the Chairperson of our board of directors, Ian Clark. The Voting Agreement will terminate upon the closing of this offering, at which point no stockholder will have any special rights regarding the election or designation of the members of our board of directors, and the provisions of our current amended and restated certificate of incorporation, as amended, by which our directors were elected, will be amended and restated in connection with this offering. After this offering, the number of directors will be fixed by our board of directors, subject to the terms of our amended and restated certificate of incorporation and our amended and restated bylaws that will become effective immediately prior to the closing of this offering. Our current directors elected to our board of directors pursuant to the Voting Agreement will continue to serve as directors until their successors are duly elected and qualified, or until their earlier resignation or removal.</w:t>
      </w:r>
    </w:p>
    <w:p>
      <w:pPr>
        <w:spacing w:after="0" w:line="19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which will be effective immediately prior to the closing of this offering, our board of directors will be divided into three classes with staggered three-year terms. At each annual meeting of stockholders after the initial classification, the successors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to the directors whose terms will then expire will be elected to serve from the time of election and qualification until the third annual meeting following their election. Our directors will be divided among the three classes as follows:</w:t>
      </w:r>
    </w:p>
    <w:p>
      <w:pPr>
        <w:spacing w:after="0" w:line="67" w:lineRule="exact"/>
        <w:rPr>
          <w:sz w:val="20"/>
          <w:szCs w:val="20"/>
          <w:color w:val="auto"/>
        </w:rPr>
      </w:pPr>
    </w:p>
    <w:p>
      <w:pPr>
        <w:ind w:left="1080" w:right="10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Beth Seidenberg, M.D. and Fred E. Cohen, M.D., D.Phil., and their terms will expire at the annual meeting of stockholders to be held in 2025;</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Ian Clark, Brian Kotzin, M.D. and Steve Liapis, Ph.D., and their terms will expire at the annual meeting of stockholders to be held in 2026; and</w:t>
      </w:r>
    </w:p>
    <w:p>
      <w:pPr>
        <w:spacing w:after="0" w:line="67"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Peter Maag, Ph.D. and Daniel K. Spiegelman, and their terms will expire at the annual meeting of stockholders to be held in 2027.</w:t>
      </w:r>
    </w:p>
    <w:p>
      <w:pPr>
        <w:spacing w:after="0" w:line="162"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a change of our management or a change in control of our company.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Under the rules and listing standards of The Nasdaq Stock Market LLC, or the Nasdaq Rules, a majority of the members of our board of directors must satisfy the Nasdaq criteria for “independence.” No director qualifies as independent under the Nasdaq Rules unless our board of directors affirmatively determines that the director does not have a relationship with us that would impair independence (directly or as a partner, stockholder or officer of an organization that has a relationship with us). Our board of directors has determined that Ian Clark, Fred E. Cohen, M.D., D.Phil., Brian Kotzin, M.D., Steve Liapis, Ph.D., Beth Seidenberg, M.D. and Daniel K. Spiegelman are independent directors as defined under the Nasdaq Rules.</w:t>
      </w:r>
    </w:p>
    <w:p>
      <w:pPr>
        <w:spacing w:after="0" w:line="3" w:lineRule="exact"/>
        <w:rPr>
          <w:sz w:val="20"/>
          <w:szCs w:val="20"/>
          <w:color w:val="auto"/>
        </w:rPr>
      </w:pPr>
    </w:p>
    <w:p>
      <w:pPr>
        <w:ind w:left="120" w:right="220"/>
        <w:spacing w:after="0" w:line="273" w:lineRule="auto"/>
        <w:rPr>
          <w:sz w:val="20"/>
          <w:szCs w:val="20"/>
          <w:color w:val="auto"/>
        </w:rPr>
      </w:pPr>
      <w:r>
        <w:rPr>
          <w:rFonts w:ascii="Times New Roman" w:cs="Times New Roman" w:eastAsia="Times New Roman" w:hAnsi="Times New Roman"/>
          <w:sz w:val="17"/>
          <w:szCs w:val="17"/>
          <w:color w:val="auto"/>
        </w:rPr>
        <w:t>Dr. Maag is not independent under the Nasdaq Rules as a result of his position as our Chief Executive Officer.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of this prospectus titled “Certain Relationships and Related Person Transactions.”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of directors recognizes that one of its key responsibilities is to evaluate and determine its optimal leadership structure so as to provide effective oversight of management. Our amended and restated bylaws and corporate governance guidelines provide our board of directors with flexibility to combine or separate the positions of Chairperson of our board of directors and Chief Executive Officer. Our board of directors believes that our existing leadership structure, under which Peter Maag, Ph.D. serves as our Chief Executive Officer and Ian Clark serves as Chairperson of our board of directors, is effective, provides the appropriate balance of authority between independent and non-independent directors, and achieves the optimal governance model for us and for our stockholders. Moreover, we believe that separating these positions allows our Chief Executive Officer to focus on our day-to-day business, while allowing the Chairperson of our board to lead our board of directors in its fundamental role of providing advice to and independent oversight of management. Our board of directors recognizes the time, effort and energy that our Chief Executive Officer is required to devote to his position in the current business environment, as well as the commitment required to serve as the Chairperson of our board of directors, particularly as our board of directors’ oversight responsibilities continue to grow.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Although management is responsible for the day-to-day management of the risks our company faces, our board of directors and its committees take an active role in overseeing management of our risks and have the ultimate responsibility for the oversight of risk management. Our board of directors regularly reviews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information regarding our operational, financial, legal and strategic risks. Specifically, senior management attends quarterly meetings of our board of directors, provides presentations on operations, including significant risks, and is available to address any questions or concerns raised by our board of directors.</w:t>
      </w:r>
    </w:p>
    <w:p>
      <w:pPr>
        <w:spacing w:after="0" w:line="176"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In addition, we expect that our three committees will assist our board of directors in fulfilling its oversight responsibilities regarding risk. The Audit Committee will coordinate our board of directors’ oversight of our internal control over financial reporting, disclosure controls and procedures, related party transactions and code of conduct and management will regularly report to the Audit Committee on these areas. The Compensation Committee will assist our board of directors in fulfilling its oversight responsibilities with respect to the management of risks arising from our compensation policies and programs as well as succession planning as it relates to our Chief Executive Officer. The Nominating and Corporate Governance Committee will assist our board of directors in fulfilling its oversight responsibilities with respect to the management of risks associated with board organization, membership and structure, succession planning for our directors, maintaining our corporate governance guidelines and our corporate governance generally. When any of the committees receives a report related to material risk oversight, the chairperson of the relevant committee will report on the discussion to our full board of directors.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anticipate adopting a code of business conduct and ethics, effective immediately prior to the completion of this offering, which will apply to all of our employees, officers and directors, including those officers responsible for financial reporting. Following its completion, the code of business conduct and ethics will be available on our website at https://kyvernatx.com/. We intend to disclose any amendments to the code, or any waivers of its requirements, on our website to the extent required by the applicable rules and exchange requirements. The inclusion of our website address in this prospectus does not incorporate by reference the information on or accessible through our website into this 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will serve on these committees until their resignation or removal or until otherwise determined by our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is comprised of Daniel K. Spiegelman, Brian Kotzin, M.D. and Steve Liapis, Ph.D., with Mr. Spiegelman serving as Chairperson of the Audit Committee. Each member of the Audit Committee must be an independent as defined under the applicable Nasdaq and SEC rules and financially literate under the Nasdaq Rules. Our board of directors has determined that each member of the Audit Committee is “independent” and “financially literate” under the Nasdaq Rules and the SEC and that Mr. Spiegelman is an “audit committee financial expert” under the rules of the SEC. The responsibilities of the Audit Committee are included in a written charter. The Audit Committee acts on behalf of our board of directors in fulfilling our board of directors’ oversight responsibilities with respect to our corporate accounting and financial reporting processes, the systems of internal control over financial reporting and audits of financial statements, and also assists our board of directors in its oversight of the quality and integrity of our financial statements and reports and the qualifications, independence and performance of our independent registered public accounting firm. For this purpose, the Audit Committee performs several functions. The functions of the Audit Committee include, among others:</w:t>
      </w:r>
    </w:p>
    <w:p>
      <w:pPr>
        <w:spacing w:after="0" w:line="94" w:lineRule="exact"/>
        <w:rPr>
          <w:sz w:val="20"/>
          <w:szCs w:val="20"/>
          <w:color w:val="auto"/>
        </w:rPr>
      </w:pPr>
    </w:p>
    <w:p>
      <w:pPr>
        <w:ind w:left="1080" w:right="1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engagements of the independent registered public accounting firm, prior to commencement of the engagement, and the scope of and plans for the audit;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audit engagement;</w:t>
      </w:r>
    </w:p>
    <w:p>
      <w:pPr>
        <w:spacing w:after="0" w:line="130" w:lineRule="exact"/>
        <w:rPr>
          <w:rFonts w:ascii="Times New Roman" w:cs="Times New Roman" w:eastAsia="Times New Roman" w:hAnsi="Times New Roman"/>
          <w:sz w:val="18"/>
          <w:szCs w:val="18"/>
          <w:color w:val="auto"/>
        </w:rPr>
      </w:pPr>
    </w:p>
    <w:p>
      <w:pPr>
        <w:ind w:left="1080" w:right="420" w:hanging="424"/>
        <w:spacing w:after="0" w:line="312" w:lineRule="auto"/>
        <w:tabs>
          <w:tab w:leader="none" w:pos="10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spacing w:after="0" w:line="45" w:lineRule="exact"/>
        <w:rPr>
          <w:rFonts w:ascii="Times New Roman" w:cs="Times New Roman" w:eastAsia="Times New Roman" w:hAnsi="Times New Roman"/>
          <w:sz w:val="17"/>
          <w:szCs w:val="17"/>
          <w:color w:val="auto"/>
        </w:rPr>
      </w:pPr>
    </w:p>
    <w:p>
      <w:pPr>
        <w:ind w:left="1080" w:right="10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compliance with laws and rules;</w:t>
      </w:r>
    </w:p>
    <w:p>
      <w:pPr>
        <w:spacing w:after="0" w:line="67"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overseeing our risk management, including with respect to enterprise, financial and legal risk assessment, risk exposures and risk management;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programs, policies, and procedures related to our information technology systems, including information asset security, data protection, data privacy, cybersecurity and back-up of information systems, and steps taken to monitor, mitigate and control such exposures;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appropriate insurance coverage for our directors and executive officers;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Compensation Committee is comprised of Beth Seidenberg, M.D., Fred E. Cohen, M.D., D.Phil. and Steve Liapis, Ph.D., with Dr. Seidenberg serving as Chairperson of the Compensation Committee. Our board of directors has determined that each member of the Compensation Committee is “independent” under the Nasdaq Rules and all applicable laws. Each of the members of the Compensation Committee is also a “nonemployee director” as that term is defined under Rule 16b-3 of the Exchange Act and an “outside director” as that term is defined in Treasury Regulation</w:t>
      </w:r>
    </w:p>
    <w:p>
      <w:pPr>
        <w:spacing w:after="0" w:line="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Section 1.162-27(3). The Compensation Committee acts on behalf of our board of directors to fulfill our board of directors’ responsibilities in overseeing our compensation policies, plans and programs; and in reviewing and determining the compensation to be paid to our executive officers and non-employee directors. The responsibilities of the Compensation Committee are included in its written charter. The functions of the Compensation Committee include, among others:</w:t>
      </w:r>
    </w:p>
    <w:p>
      <w:pPr>
        <w:spacing w:after="0" w:line="94" w:lineRule="exact"/>
        <w:rPr>
          <w:sz w:val="20"/>
          <w:szCs w:val="20"/>
          <w:color w:val="auto"/>
        </w:rPr>
      </w:pPr>
    </w:p>
    <w:p>
      <w:pPr>
        <w:ind w:left="1080" w:right="10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effectiveness of our overall compensation strategy to assure that it promotes stockholder interests and supports our strategic and tactical objectives, and that it provides appropriate rewards and incentives for our management and employees, taking into account whether such rewards and incentives encourage undue or inappropriate risk-taking by such personnel;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it deems appropriate, making recommendations to our board of directors regarding) our overall compensation strategy and policies, and reviewing, modifying and approving corporate performance goals and objectives relevant to the compensation of our executive officers and other senior management;</w:t>
      </w:r>
    </w:p>
    <w:p>
      <w:pPr>
        <w:spacing w:after="0" w:line="81"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it deems appropriate, recommending to our board of directors for determination and approval) the compensation and terms of employment of our Chief Executive Officer, including seeking to achieve an appropriate level of risk and reward in determining the long-term incentive component of our Chief Executive Officer’s compensation;</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it deems appropriate, recommending to our board of directors for determination and approval) the compensation and terms of employment of our executive officers and other members of senior management;</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our board of directors regarding) the terms of employment agreements, severance agreements, change-of-control protections and other compensatory arrangements for our executive officers and other senior management;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reviews of the base compensation levels of all of our employees generally;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non-employee directors;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 and</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human capital management strategies, programs and policies, including, but not limited to, those regarding recruitment, retention, career development, diversity, equity and inclusion, pay equity, workplace culture and employee engagement.</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once we cease to be an “emerging growth company,” as defined in JOBS Act, the responsibilities of the Compensation Committee will also include:</w:t>
      </w:r>
    </w:p>
    <w:p>
      <w:pPr>
        <w:spacing w:after="0" w:line="67" w:lineRule="exact"/>
        <w:rPr>
          <w:sz w:val="20"/>
          <w:szCs w:val="20"/>
          <w:color w:val="auto"/>
        </w:rPr>
      </w:pPr>
    </w:p>
    <w:p>
      <w:pPr>
        <w:ind w:left="1080" w:right="16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for approval the frequency with which we conduct an advisory vote on executive compensation, taking into account the results of the most recent stockholder advisory vote on the frequency of the advisory vote on executive compensation, and reviewing and approving the proposals regarding the frequency of the advisory vote on executive compensation to be included in our annual meeting proxy statements; and</w:t>
      </w:r>
    </w:p>
    <w:p>
      <w:pPr>
        <w:spacing w:after="0" w:line="85"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Discussion and Analysis, and recommending to our Board that the Compensation Discussion and Analysis be approved for inclusion in our Annual Reports on Form 10-K, registration statements and our annual meeting proxy statements.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delegate authority to our Chief Executive Officer to grant rights in, or options to purchase, shares of our common stock to eligible employees and consultants who are not executive officers, subject to certain limitations.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60"/>
          </w:cols>
          <w:pgMar w:left="320" w:top="455" w:right="5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is comprised of Ian Clark, Fred E. Cohen, M.D., D.Phil. and Beth Seidenberg, M.D., with Mr. Clark serving as Chairperson of the Nominating and Corporate Governance Committee. Our board of directors has determined that each member of the Nominating and Corporate Governance Committee is “independent” under the Nasdaq Rules and all applicable laws. The responsibilities of the Nominating and Corporate Governance Committee are included in its written charter. The Nominating and Corporate Governance Committee acts on behalf of our board of directors to fulfill our board of directors’ responsibilities in overseeing all aspects of our nominating and corporate governance functions. The functions of the Nominating and Corporate Governance Committee include, among others:</w:t>
      </w:r>
    </w:p>
    <w:p>
      <w:pPr>
        <w:spacing w:after="0" w:line="93" w:lineRule="exact"/>
        <w:rPr>
          <w:sz w:val="20"/>
          <w:szCs w:val="20"/>
          <w:color w:val="auto"/>
        </w:rPr>
      </w:pPr>
    </w:p>
    <w:p>
      <w:pPr>
        <w:ind w:left="1080" w:right="240" w:hanging="424"/>
        <w:spacing w:after="0" w:line="26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composition, size, organization and governance of our board of directors and its committees to ensure that they appropriately reflect the knowledge, skills, integrity, ethics, diversity (including that of gender, sexual orientation, disability, age, race, ethnicity or national origin, global perspective and experience, business experience, functional expertise, stakeholder expectations, culture and geography), and other characteristics required to fulfill their respective duties, and determine future requirements;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corporate governance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to serve as directors (consistent with criteria approved by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minimum qualifications for service on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incumbent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and overseeing director orientation and director continuing education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focal point for communication between candidates, non-committee directors and our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for selection candidates to serve as nominees for director for the annual meeting of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other recommendations to our board of directors regarding matters relating to the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plans for our Chief Executive Officer and our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matters of corporate responsibility and sustainability, including potential long- and short-term trends and impacts to our business of environmental, social, and governance issues, and our public reporting on these topics;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environmental, social and governance programs and strategies;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recommendations for director nominees and proposals submitted by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expected members of the Compensation Committee has at any time been one of our officers or employees. None of our executive officers currently serves, or in the past fiscal year has served, as a member of our board of directors or the compensation committee of any entity that has one or more executive officers on our board of directors or the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during the year ended December 31, 2023. Other than as set forth in the table and described more fully below, in 2023 we did not pay any compensation to, reimburse any expense of, or grant any equity awards or non-equity awards to any of the non-employee members of our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2023, we did not have a formal or standard compensation policy for our non-employee directors. However, pursuant to an offer letter, dated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14, 2021, with Mr. Clark to serve as the chairperson of our board of directors, we have agreed to pay Mr. Clark an annual cash retainer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$100,000. In addition, on February 28, 2022, Mr. Clark was granted an option to purchase 38,736 shares of our common stock with an exercise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$4.42 per share. Similarly, pursuant to our offer letter with Brian Kotzin, M.D., dated January 8, 2020, we agreed to pay him $100,000 per calendar year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his service on our board of directors. Pursuant to our offer letter, dated March 31, 2021, with Daniel Spiegelman, we agreed to pay Mr. Spiegelman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annual cash retainer for service on our board of directors of $50,000. On September 1, 2023, we entered into an advisor agreement with Mr.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Spiegelman, pursuant to which he agreed to provide us advice in our evaluation of strategic options in the context of corporate finance activities,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but not limited to, an initial public offering by us, in exchange for a payment of $10,000 per month. In addition, we have reimbursed and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continue to reimburse all of our non-employee directors for their reasonable out-of-pocket expenses incurred in attending board of directors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 meetings.</w:t>
      </w:r>
    </w:p>
    <w:p>
      <w:pPr>
        <w:spacing w:after="0" w:line="20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2023 regarding the compensation awarded to, earned by or paid to persons who served as our directors during 2023 who are not named executive officers.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2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200" w:type="dxa"/>
            <w:vAlign w:val="bottom"/>
            <w:gridSpan w:val="2"/>
            <w:vMerge w:val="continue"/>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0"/>
        </w:trPr>
        <w:tc>
          <w:tcPr>
            <w:tcW w:w="5400" w:type="dxa"/>
            <w:vAlign w:val="bottom"/>
            <w:gridSpan w:val="2"/>
            <w:vMerge w:val="continue"/>
          </w:tcPr>
          <w:p>
            <w:pPr>
              <w:spacing w:after="0"/>
              <w:rPr>
                <w:sz w:val="13"/>
                <w:szCs w:val="13"/>
                <w:color w:val="auto"/>
              </w:rPr>
            </w:pPr>
          </w:p>
        </w:tc>
        <w:tc>
          <w:tcPr>
            <w:tcW w:w="13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Cash ($)</w:t>
            </w:r>
          </w:p>
        </w:tc>
        <w:tc>
          <w:tcPr>
            <w:tcW w:w="120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w w:val="96"/>
              </w:rPr>
              <w:t xml:space="preserve">Awards </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Ian Clark</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206,739</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496"/>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9"/>
              </w:rPr>
              <w:t>306,739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 E. Cohen, M.D., D.Phil.</w:t>
            </w: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155,054</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155,054</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Kotzin, M.D.</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155,054</w:t>
            </w:r>
          </w:p>
        </w:tc>
        <w:tc>
          <w:tcPr>
            <w:tcW w:w="1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255,054</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Liapis, Ph.D.</w:t>
            </w: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Beth Seidenberg, M.D.</w:t>
            </w:r>
          </w:p>
        </w:tc>
        <w:tc>
          <w:tcPr>
            <w:tcW w:w="1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155,054</w:t>
            </w:r>
          </w:p>
        </w:tc>
        <w:tc>
          <w:tcPr>
            <w:tcW w:w="15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155,054</w:t>
            </w:r>
          </w:p>
        </w:tc>
        <w:tc>
          <w:tcPr>
            <w:tcW w:w="0" w:type="dxa"/>
            <w:vAlign w:val="bottom"/>
          </w:tcPr>
          <w:p>
            <w:pPr>
              <w:spacing w:after="0"/>
              <w:rPr>
                <w:sz w:val="1"/>
                <w:szCs w:val="1"/>
                <w:color w:val="auto"/>
              </w:rPr>
            </w:pPr>
          </w:p>
        </w:tc>
      </w:tr>
      <w:tr>
        <w:trPr>
          <w:trHeight w:val="355"/>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K. Spiegelman</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155,054</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4"/>
              </w:rPr>
              <w:t>40,000</w:t>
            </w:r>
            <w:r>
              <w:rPr>
                <w:rFonts w:ascii="Times New Roman" w:cs="Times New Roman" w:eastAsia="Times New Roman" w:hAnsi="Times New Roman"/>
                <w:sz w:val="26"/>
                <w:szCs w:val="26"/>
                <w:color w:val="auto"/>
                <w:w w:val="94"/>
                <w:vertAlign w:val="superscript"/>
              </w:rPr>
              <w:t>(2)</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245,054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540" w:hanging="424"/>
        <w:spacing w:after="0" w:line="257"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our then-serving non-employee directors held unexercised stock options with respect to the following number of shares of our common stock: Mr. Clark: 364,398 shares, Dr. Cohen: 32,959 shares, Dr. Kotzin: 76,265 shares, Dr. Liapis: no shares, Dr. Seidenberg: 32,959 shares; and Mr. Spiegelman: 50,537 shares.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compensation payable to Mr. Spiegelman under the advisor agreement, dated September 1, 2023.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Effective upon the closing of this offering, our non-employee directors will be compensated in accordance with our non-employee director compensation program, or the Director Compensation Program. Pursuant to the Director Compensation Program, our non-employee directors will receive cash compensation, paid quarterly in arrears, as follows:</w:t>
      </w:r>
    </w:p>
    <w:p>
      <w:pPr>
        <w:spacing w:after="0" w:line="8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will receive a cash retainer in the amount of $40,000 per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Chairperson of the Board will receive an additional cash retainer of $35,000 per year.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will receive a cash retainer in the amount of $20,000 per year for such Chairperson’s service on the Audit Committee. Each non-Chairperson member of the Audit Committee will receive a cash retainer in the amount of $10,000 per year for such member’s service on the Audit Committee.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Compensation Committee will receive a cash retainer in the amount of $15,000 per year for such Chairperson’s service on the Compensation Committee. Each non-Chairperson member of the Compensation Committee will receive a cash retainer in the amount of $7,500 per year for such member’s service on the Compensation Committee.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80"/>
          </w:cols>
          <w:pgMar w:left="320" w:top="455"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Nominating and Corporate Governance Committee will receive a cash retainer in the amount of $10,000 per year for such Chairperson’s service on the Nominating and Corporate Governance Committee. Each non-Chairperson member of the Nominating and Corporate Governance Committee will receive a cash retainer in the amount of $5,000 per year for such member’s service on the Nominating and Corporate Governance Committee.</w:t>
      </w:r>
    </w:p>
    <w:p>
      <w:pPr>
        <w:spacing w:after="0" w:line="85" w:lineRule="exact"/>
        <w:rPr>
          <w:rFonts w:ascii="Times New Roman" w:cs="Times New Roman" w:eastAsia="Times New Roman" w:hAnsi="Times New Roman"/>
          <w:sz w:val="18"/>
          <w:szCs w:val="18"/>
          <w:color w:val="auto"/>
        </w:rPr>
      </w:pPr>
    </w:p>
    <w:p>
      <w:pPr>
        <w:ind w:left="1080" w:right="620" w:hanging="424"/>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Science and Technology Committee will receive a cash retainer in the amount of $15,000 per year for such Chairperson’s service on the Science and Technology Committee. Each non-Chairperson member of the Science and Technology Committee will receive a cash retainer in the amount of $7,500 per year for such member’s service on the Science and Technology Committee.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non-employee director may elect, on an annual basis, to convert all or a portion of such non-employee director’s annual retainer into a number of restricted stock units granted under the 2024 Plan, which will be fully vested on the date of grant, and settlement of the restricted stock units may be deferred at the election of the non-employee director.</w:t>
      </w:r>
    </w:p>
    <w:p>
      <w:pPr>
        <w:spacing w:after="0" w:line="17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Under the Director Compensation Program, each non-employee director who is initially elected or appointed to our board of directors following this offering will automatically be granted an option, or the Initial Grant, under the 2024 Plan to purchase that number of shares of our common stock equal to (i) $350,000, divided by (ii) the per share grant date fair value of the option award. The Initial Grant will vest as to 1/36th of the underlying shares on a monthly basis over three years, subject to continued service through the applicable vesting date. In addition, on the date of each annual meeting of our stockholders following the completion of this offering, each non-employee director who (i) has been serving on our board of directors for at least four months and (ii) will continue to serve as a non-employee director immediately following such annual meeting will automatically be granted an option, or the Annual Grant, under the 2024 Plan to purchase that number of shares of our common stock equal to (i) $175,000, divided by (ii) the per share grant date fair value of the option award. The Annual Grant will vest in full on the earlier of the (i) first anniversary of the grant date and (ii) immediately prior to the annual meeting of our stockholders following the date of grant, subject to continued service through the applicable vesting date.</w:t>
      </w:r>
    </w:p>
    <w:p>
      <w:pPr>
        <w:spacing w:after="0" w:line="17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Director Compensation Program, upon a change in control transaction, all outstanding equity awards held by our non-employee directors will vest in full.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are:</w:t>
      </w:r>
    </w:p>
    <w:p>
      <w:pPr>
        <w:spacing w:after="0" w:line="131"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Maag, Ph.D., our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Chung, M.D., Ph.D. our Chief Medical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Karen Walker, our Chief Technology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compensation paid to our named executive officers for the fiscal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20" w:type="dxa"/>
            <w:vAlign w:val="bottom"/>
            <w:gridSpan w:val="2"/>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2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Peter Maag, Ph.D.</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2023</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438,875</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247,500</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1,554,197</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23,617</w:t>
            </w:r>
          </w:p>
        </w:tc>
        <w:tc>
          <w:tcPr>
            <w:tcW w:w="440" w:type="dxa"/>
            <w:vAlign w:val="bottom"/>
            <w:tcBorders>
              <w:top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2"/>
              </w:rPr>
              <w:t>(2)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2,264,189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Chung, M.D., Ph.D.</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401,995</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152,982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520,502</w:t>
            </w:r>
          </w:p>
        </w:tc>
        <w:tc>
          <w:tcPr>
            <w:tcW w:w="1320" w:type="dxa"/>
            <w:vAlign w:val="bottom"/>
            <w:gridSpan w:val="2"/>
            <w:shd w:val="clear" w:color="auto" w:fill="CCEEFF"/>
          </w:tcPr>
          <w:p>
            <w:pPr>
              <w:jc w:val="right"/>
              <w:ind w:right="213"/>
              <w:spacing w:after="0" w:line="216" w:lineRule="exact"/>
              <w:rPr>
                <w:sz w:val="20"/>
                <w:szCs w:val="20"/>
                <w:color w:val="auto"/>
              </w:rPr>
            </w:pPr>
            <w:r>
              <w:rPr>
                <w:rFonts w:ascii="Times New Roman" w:cs="Times New Roman" w:eastAsia="Times New Roman" w:hAnsi="Times New Roman"/>
                <w:sz w:val="17"/>
                <w:szCs w:val="17"/>
                <w:color w:val="auto"/>
              </w:rPr>
              <w:t>90,643</w:t>
            </w:r>
            <w:r>
              <w:rPr>
                <w:rFonts w:ascii="Times New Roman" w:cs="Times New Roman" w:eastAsia="Times New Roman" w:hAnsi="Times New Roman"/>
                <w:sz w:val="25"/>
                <w:szCs w:val="25"/>
                <w:color w:val="auto"/>
                <w:vertAlign w:val="superscript"/>
              </w:rPr>
              <w:t>(3)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1,166,122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Karen Walker</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387,899</w:t>
            </w:r>
          </w:p>
        </w:tc>
        <w:tc>
          <w:tcPr>
            <w:tcW w:w="9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150,150</w:t>
            </w:r>
          </w:p>
        </w:tc>
        <w:tc>
          <w:tcPr>
            <w:tcW w:w="10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520,502</w:t>
            </w:r>
          </w:p>
        </w:tc>
        <w:tc>
          <w:tcPr>
            <w:tcW w:w="1320" w:type="dxa"/>
            <w:vAlign w:val="bottom"/>
            <w:gridSpan w:val="2"/>
          </w:tcPr>
          <w:p>
            <w:pPr>
              <w:jc w:val="right"/>
              <w:ind w:right="213"/>
              <w:spacing w:after="0" w:line="196" w:lineRule="exact"/>
              <w:rPr>
                <w:sz w:val="20"/>
                <w:szCs w:val="20"/>
                <w:color w:val="auto"/>
              </w:rPr>
            </w:pPr>
            <w:r>
              <w:rPr>
                <w:rFonts w:ascii="Times New Roman" w:cs="Times New Roman" w:eastAsia="Times New Roman" w:hAnsi="Times New Roman"/>
                <w:sz w:val="16"/>
                <w:szCs w:val="16"/>
                <w:color w:val="auto"/>
              </w:rPr>
              <w:t>23,593</w:t>
            </w:r>
            <w:r>
              <w:rPr>
                <w:rFonts w:ascii="Times New Roman" w:cs="Times New Roman" w:eastAsia="Times New Roman" w:hAnsi="Times New Roman"/>
                <w:sz w:val="22"/>
                <w:szCs w:val="22"/>
                <w:color w:val="auto"/>
                <w:vertAlign w:val="superscript"/>
              </w:rPr>
              <w:t>(2)</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1,082,144</w:t>
            </w:r>
          </w:p>
        </w:tc>
        <w:tc>
          <w:tcPr>
            <w:tcW w:w="0" w:type="dxa"/>
            <w:vAlign w:val="bottom"/>
          </w:tcPr>
          <w:p>
            <w:pPr>
              <w:spacing w:after="0"/>
              <w:rPr>
                <w:sz w:val="1"/>
                <w:szCs w:val="1"/>
                <w:color w:val="auto"/>
              </w:rPr>
            </w:pPr>
          </w:p>
        </w:tc>
      </w:tr>
      <w:tr>
        <w:trPr>
          <w:trHeight w:val="23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260" w:hanging="424"/>
        <w:spacing w:after="0" w:line="254"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option awards computed in accordance with ASC Topic 718. Assumptions used in the calculation of these amounts are included in Note 10 and Note 14 to our unaudited condensed financial statements and related notes included elsewhere in this prospectus.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solely of insurance benefits paid by us on behalf of the named executive officer.</w:t>
      </w:r>
    </w:p>
    <w:p>
      <w:pPr>
        <w:spacing w:after="0" w:line="9" w:lineRule="exact"/>
        <w:rPr>
          <w:rFonts w:ascii="Times New Roman" w:cs="Times New Roman" w:eastAsia="Times New Roman" w:hAnsi="Times New Roman"/>
          <w:sz w:val="18"/>
          <w:szCs w:val="18"/>
          <w:color w:val="auto"/>
        </w:rPr>
      </w:pPr>
    </w:p>
    <w:p>
      <w:pPr>
        <w:ind w:left="540" w:right="640" w:hanging="424"/>
        <w:spacing w:after="0" w:line="260"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$29,101 of insurance benefits paid by us on behalf of Dr. Chung and $61,542 of temporary housing and relocation expenses reimbursed by us to Dr. Chung.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Below are descriptions of employment agreements or offer letters with our named executive officers. For a discussion of the severance pay and other benefits to be provided in connection with a termination of employment and/or a change in control of the Company under the arrangements with our executive officers, see the subsection titled “—Potential Payments upon Termination or Change in Control”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Peter Maag, Ph.D.</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October 2022, we entered into an offer letter with Dr. Maag, or the Maag Offer Letter, which provides for at-will employment as our Chief Executive Officer with an initial base salary of $450,000 per year, a discretionary annual target bonus equal to 50% of his annual base salary and the grant of a non-statutory option to purchase shares of our common stock at the fair market value as determined by our board of directors as of the date of grant, with the number of shares to be equal to approximately 6.5% of our fully-diluted capitalization as of the date of grant. In accordance with the Maag Offer Letter, on November 22, 2022, we granted to Dr. Maag an option to purchase an aggregate of 1,397,285 shares of our common stock pursuant to the 2019 Plan with an exercise price of $3.15 per share, or the Initial Option, with the following vesting schedule: 25% of the shares subject to the Initial Option vest on October 13, 2023, the 12-month anniversary of Dr. Maag’s start date, and the balance vest in equal monthly installments over the following 36 months, subject to Dr. Maag’s Continuous Service (as defined in the 2019 Plan) as of each vesting date. The Initial Option has an early exercise feature whereby it was immediately exercisable in full, as to the both the vested and unvested shares subject to the Initial</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Option, with any shares of common stock issued upon an early exercise that have not yet vested subject to repurchase by us in the event of termination of Dr. Maag’s Continuous Service. We also agreed to pay or reimburse Dr. Maag for up to $5,000 for legal and tax-related fees incurred in negotiating and drafting the Maag Offer Letter and promissory note (described below).</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Maag Offer Letter also provides that Dr. Maag may pay up to 50% of the aggregate exercise price of the Initial Option with a promissory note on terms approved by our board of directors. In accordance with this provision in the Maag Offer Letter, on December 28, 2022, Dr. Maag early exercised 349,321 shares of our common stock subject to the Initial Option in exchange for a partial recourse promissory note receivable in an aggregate principal amount of $1.1 million. On January 12, 2024, we forgave the promissory note in full, which includes the outstanding principal amount and interest through that date. The promissory note bore interest of 4.27% per annum and was due in December 2027 but would have become immediately due and payable upon the occurrence of certain events, including upon a change of control of our company or on the date prior to the filing of a registration statement by us in connection with an initial public offering.</w:t>
      </w:r>
    </w:p>
    <w:p>
      <w:pPr>
        <w:spacing w:after="0" w:line="18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Effective January 1, 2024, Dr. Maag’s base salary was increased to $550,000 per year and his discretionary annual target bonus was increased to equal to 55% of his annual base salary.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James Chung, M.D., Ph.D.</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March 2021, we entered into an offer letter with Dr. Chung, or the Chung Offer Letter, which provides for at-will employment as our Senior Vice President, Chief Medical Officer, with an initial base salary of $375,000 per year, an annual target bonus equal to 35% of his annual base salary, a one-time sign-on/retention bonus of $30,000 granted on the condition that Dr. Chung remain employed by us through the two-year anniversary of his start date, as well as grant of an option to purchase 98,877 shares of our common stock. In accordance with the Chung Offer Letter, on April 27, 2021, we granted to Dr. Chung an option to purchase an aggregate of 98,877 shares of our common stock with an exercise price of $3.37 per share, which is subject to the following vesting schedule: 25% of the shares subject to the option vested on April 12, 2022 and the balance vest in equal monthly installments over the following 36 months of his Continuous Service (as defined in the 2019 Plan).</w:t>
      </w:r>
    </w:p>
    <w:p>
      <w:pPr>
        <w:spacing w:after="0" w:line="18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Chung Offer Letter also provides for reimbursement of moving expenses related to Dr. Chung’s relocation to the San Francisco Bay Area in the amount up to $40,000 payable in 2023, 30 days of housing allowance for temporary living up to approximately $3,500 per month on the condition that he remain employed by us through the two-year anniversary of his start date, as well as payment for the travel and lodging expenses related to his presence at our headquarter offices from his start date through his relocation date, capped at $3,500 per month.</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Effective January 1, 2024, Dr. Chung’s base salary was increased to $440,000 per year and his discretionary annual target bonus was increased to equal to 40% of his annual base salary.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Karen Walker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July 2021, we entered into an offer letter with Ms. Walker, or the Walker Offer Letter, which provides for at-will employment as our Senior Vice President, Chief Technology Officer, with an initial base salary of $370,000 per year, an annual target bonus equal to 35% of her annual base salary and grant of an option to purchase 92,285 shares of our common stock. In accordance with the Walker Offer Letter, on November 18, 2021, we granted to Ms. Walker an option to purchase an aggregate of 92,285 shares of our common stock with an exercise price of $4.42 per share, which is subject to the following vesting schedule: 25% of the shares subject to the option vested on September 13, 2022 and the balance vest in equal monthly installments over the following 36 months of her Continuous Service (as defined in the 2019 Plan).</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Walker Offer Letter also provides for reimbursement of expenses related to her travel to our headquarter offices on a regular basis to perform her duties in person.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Effective January 1, 2024, Ms. Walker’s base salary was increased to $440,000 per year and her discretionary annual target bonus was increased to equal to 40% of her annual base salary.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Peter Maag, Ph.D.</w:t>
      </w:r>
    </w:p>
    <w:p>
      <w:pPr>
        <w:spacing w:after="0" w:line="12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7"/>
          <w:szCs w:val="17"/>
          <w:color w:val="auto"/>
        </w:rPr>
        <w:t>The Maag Offer Letter provides that if we terminate Dr. Maag’s employment for Cause (as defined in the Maag Offer Letter) at any time, if he resigns without Good Reason (as defined in the Maag Offer Letter) or if his employment terminates as a result of his death or disability, he will receive his base salary accrued through his last day of employment but will not be entitled to any other form of compensation from the Company, including severance benefits. If the Company terminates Dr. Maag’s employment without Cause or he resigns for Good Reason and other than as a result of his death or disability, and provided such termination constitutes a “separation from service” (as defined under Treasury Regulation Section 1.409A-1(h)), then, subject to his obligations set forth in the Maag Offer Letter, he will be entitled to receive (i) 12 months of his then-current base salary and</w:t>
      </w:r>
    </w:p>
    <w:p>
      <w:pPr>
        <w:spacing w:after="0" w:line="5" w:lineRule="exact"/>
        <w:rPr>
          <w:sz w:val="20"/>
          <w:szCs w:val="20"/>
          <w:color w:val="auto"/>
        </w:rPr>
      </w:pPr>
    </w:p>
    <w:p>
      <w:pPr>
        <w:ind w:left="120" w:right="20" w:hanging="4"/>
        <w:spacing w:after="0" w:line="253" w:lineRule="auto"/>
        <w:tabs>
          <w:tab w:leader="none" w:pos="3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premiums until the earliest of (A) the end of the 12-month period following the termination of his employment, (B) the expiration of his eligibility for the continuation coverage under COBRA and (C) the date he becomes eligible for substantially equivalent health insurance coverage in connection with new employment. In addition, if a Change in Control (as defined in the Maag Offer Letter) occurs, the Initial Option (including for this purpose any unvested shares of our common stock issued upon exercise of the Initial Option) shall vest in full, subject to Dr. Maag’s Continuous Service through and including the date on which the Change in Control is consummated.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James Chung, M.D., Ph.D.</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Chung Offer Letter provides that if the Company terminates Dr. Chung’s employment for Cause (as defined in the Chung Offer Letter), if he resigns without Good Reason (as defined in the Chung Offer Letter) or if his employment terminates as a result of his death or disability, he will receive his base salary accrued through his last day of employment but will not be entitled to any other form of compensation from the Company, including severance benefits. If, outside of a CIC Period (as defined in the Chung Offer Letter), the Company terminates Dr. Chung’s employment without Cause or he resigns for Good Reason and other than as a result of his death or disability, and provided such termination constitutes a “separation from service” (as defined under Treasury Regulation Section 1.409A-1(h)), then, subject to his obligations set forth in the Chung Offer Letter, he will be entitled to receive (i) three months of his then-current base salary and (ii) COBRA premiums until the earliest of (A) the end of the three-month period following the termination of his employment, (B) the expiration of his eligibility for the continuation coverage under COBRA and (C) the date he becomes eligible for substantially equivalent health insurance coverage in connection with new employment. If, within a CIC Period, the Company terminates</w:t>
      </w:r>
    </w:p>
    <w:p>
      <w:pPr>
        <w:spacing w:after="0" w:line="6"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Dr. Chung’s employment without Cause or he resigns for Good Reason and other than as a result of his death or disability, and provided such termination constitutes a “separation from service,” then, subject to his obligations set forth in the Chung Offer Letter, he will be entitled to receive (1) six months of his then-current base salary, (ii) COBRA premiums until the earliest of (A) the end of the six-month period following the termination of his employment, (B) the expiration of his eligibility for the continuation coverage under COBRA and (C) the date he becomes eligible for substantially equivalent health insurance coverage in connection with new employment and (iii) accelerated vesting of any of his then-outstanding options such that, as of the date of his employment termination, he will be deemed to have vested in those shares that would have vested on the 12-month anniversary of his employment termination.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Karen Walker</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Walker Offer Letter provides that if, at any time, the Company terminates Ms. Walker’s employment for Cause (as defined in the Walker Offer Letter), if she resigns without Good Reason (as defined in the Walker Offer Letter) or if her employment terminates as a result of her death or disability, she will receive her base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salary accrued through her last day of employment but will not be entitled to any other form of compensation from the Company, including severance benefits. If, outside of a CIC Period (as defined in the Walker Offer Letter), the Company terminates Ms. Walker’s employment without Cause or she resigns for Good Reason and other than as a result of her death or disability, and provided such termination constitutes a “separation from service” (as defined under Treasury Regulation Section 1.409A-1(h)), then, subject to her obligations set forth in the Walker Offer Letter, she will be entitled to receive (i) three months of her then-current base salary and (ii) COBRA premiums until the earliest of (A) the end of the three-month period following the termination of her employment, (B) the expiration of her eligibility for the continuation coverage under COBRA and (C) the date she becomes eligible for substantially equivalent health insurance coverage in connection with new employment. If, within a CIC Period, the Company terminates Ms. Walker’s employment without Cause or she resigns for Good Reason and other than as a result of her death or disability, and provided such termination constitutes a “separation from service,” then, subject to her obligations set forth in the Walker Offer Letter, she will be entitled to receive (1) six months of her then-current base salary, (ii) COBRA premiums until the earliest of (A) the end of the six-month period following the termination of her employment, (B) the expiration of her eligibility for the continuation coverage under COBRA and (C) the date she becomes eligible for substantially equivalent health insurance coverage in connection with new employment and (iii) accelerated vesting of any of her then-outstanding options such that, as of the date of her employment termination, she will be deemed to have vested in those shares that would have vested on the 12-month anniversary of her employment termination.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Plans and Benefits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All of our named executive officers are eligible to participate in our employee benefit plans offered to similarly situated employees of the Company, including medical, dental, vision, disability, life insurance and 401(k) plans. We generally do not provide perquisites or personal benefits to our named executive officers, except in limited circumstances. Our board of directors may elect to adopt qualified or non-qualified benefit plans in the future if it determines that doing so is in our best interests.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certain information concerning outstanding equity awards held by each of our named executive officers 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560" w:type="dxa"/>
            <w:vAlign w:val="bottom"/>
            <w:gridSpan w:val="2"/>
            <w:vMerge w:val="restart"/>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2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80" w:type="dxa"/>
            <w:vAlign w:val="bottom"/>
            <w:vMerge w:val="restart"/>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1560" w:type="dxa"/>
            <w:vAlign w:val="bottom"/>
            <w:gridSpan w:val="2"/>
          </w:tcPr>
          <w:p>
            <w:pPr>
              <w:jc w:val="right"/>
              <w:ind w:right="913"/>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3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2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r>
              <w:rPr>
                <w:rFonts w:ascii="Times New Roman" w:cs="Times New Roman" w:eastAsia="Times New Roman" w:hAnsi="Times New Roman"/>
                <w:sz w:val="10"/>
                <w:szCs w:val="10"/>
                <w:b w:val="1"/>
                <w:bCs w:val="1"/>
                <w:color w:val="auto"/>
              </w:rPr>
              <w:t>(2)</w:t>
            </w:r>
          </w:p>
        </w:tc>
        <w:tc>
          <w:tcPr>
            <w:tcW w:w="13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r>
              <w:rPr>
                <w:rFonts w:ascii="Times New Roman" w:cs="Times New Roman" w:eastAsia="Times New Roman" w:hAnsi="Times New Roman"/>
                <w:sz w:val="10"/>
                <w:szCs w:val="10"/>
                <w:b w:val="1"/>
                <w:bCs w:val="1"/>
                <w:color w:val="auto"/>
              </w:rPr>
              <w:t>(2)</w:t>
            </w:r>
          </w:p>
        </w:tc>
        <w:tc>
          <w:tcPr>
            <w:tcW w:w="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Peter Maag, Ph.D.</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11/22/2022</w:t>
            </w:r>
          </w:p>
        </w:tc>
        <w:tc>
          <w:tcPr>
            <w:tcW w:w="680" w:type="dxa"/>
            <w:vAlign w:val="bottom"/>
            <w:tcBorders>
              <w:top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w w:val="98"/>
              </w:rPr>
              <w:t>(2)(3)</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10/13/2022</w:t>
            </w: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989,743</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3.15</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11/21/2032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6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7/13/2023</w:t>
            </w:r>
            <w:r>
              <w:rPr>
                <w:rFonts w:ascii="Times New Roman" w:cs="Times New Roman" w:eastAsia="Times New Roman" w:hAnsi="Times New Roman"/>
                <w:sz w:val="25"/>
                <w:szCs w:val="25"/>
                <w:color w:val="auto"/>
                <w:vertAlign w:val="superscript"/>
              </w:rPr>
              <w:t>(4)</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7/1/2023</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11/6/2023</w:t>
            </w:r>
            <w:r>
              <w:rPr>
                <w:rFonts w:ascii="Times New Roman" w:cs="Times New Roman" w:eastAsia="Times New Roman" w:hAnsi="Times New Roman"/>
                <w:sz w:val="25"/>
                <w:szCs w:val="25"/>
                <w:color w:val="auto"/>
                <w:vertAlign w:val="superscript"/>
              </w:rPr>
              <w:t>(4)</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1/1/2024</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329,590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11/5/2033</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Chung, M.D., Ph.D.</w:t>
            </w:r>
          </w:p>
        </w:tc>
        <w:tc>
          <w:tcPr>
            <w:tcW w:w="156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4/27/2021</w:t>
            </w:r>
            <w:r>
              <w:rPr>
                <w:rFonts w:ascii="Times New Roman" w:cs="Times New Roman" w:eastAsia="Times New Roman" w:hAnsi="Times New Roman"/>
                <w:sz w:val="25"/>
                <w:szCs w:val="25"/>
                <w:color w:val="auto"/>
                <w:vertAlign w:val="superscript"/>
              </w:rPr>
              <w:t>(4)</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4/12/2021</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32,959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7/13/2023</w:t>
            </w:r>
            <w:r>
              <w:rPr>
                <w:rFonts w:ascii="Times New Roman" w:cs="Times New Roman" w:eastAsia="Times New Roman" w:hAnsi="Times New Roman"/>
                <w:sz w:val="25"/>
                <w:szCs w:val="25"/>
                <w:color w:val="auto"/>
                <w:vertAlign w:val="superscript"/>
              </w:rPr>
              <w:t>(4)</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7/1/2023</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7/12/2033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6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11/6/2023</w:t>
            </w:r>
            <w:r>
              <w:rPr>
                <w:rFonts w:ascii="Times New Roman" w:cs="Times New Roman" w:eastAsia="Times New Roman" w:hAnsi="Times New Roman"/>
                <w:sz w:val="25"/>
                <w:szCs w:val="25"/>
                <w:color w:val="auto"/>
                <w:vertAlign w:val="superscript"/>
              </w:rPr>
              <w:t>(4)</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1/1/2024</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109,863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11/5/2033</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Walker</w:t>
            </w:r>
          </w:p>
        </w:tc>
        <w:tc>
          <w:tcPr>
            <w:tcW w:w="156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11/18/2021</w:t>
            </w:r>
            <w:r>
              <w:rPr>
                <w:rFonts w:ascii="Times New Roman" w:cs="Times New Roman" w:eastAsia="Times New Roman" w:hAnsi="Times New Roman"/>
                <w:sz w:val="25"/>
                <w:szCs w:val="25"/>
                <w:color w:val="auto"/>
                <w:vertAlign w:val="superscript"/>
              </w:rPr>
              <w:t>(4)</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9/13/2021</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51,910</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40,374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11/17/2031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60" w:type="dxa"/>
            <w:vAlign w:val="bottom"/>
            <w:gridSpan w:val="2"/>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7/13/2023</w:t>
            </w:r>
            <w:r>
              <w:rPr>
                <w:rFonts w:ascii="Times New Roman" w:cs="Times New Roman" w:eastAsia="Times New Roman" w:hAnsi="Times New Roman"/>
                <w:sz w:val="25"/>
                <w:szCs w:val="25"/>
                <w:color w:val="auto"/>
                <w:vertAlign w:val="superscript"/>
              </w:rPr>
              <w:t>(4)</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7/1/2023</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53"/>
              <w:spacing w:after="0" w:line="216" w:lineRule="exact"/>
              <w:rPr>
                <w:sz w:val="20"/>
                <w:szCs w:val="20"/>
                <w:color w:val="auto"/>
              </w:rPr>
            </w:pPr>
            <w:r>
              <w:rPr>
                <w:rFonts w:ascii="Times New Roman" w:cs="Times New Roman" w:eastAsia="Times New Roman" w:hAnsi="Times New Roman"/>
                <w:sz w:val="17"/>
                <w:szCs w:val="17"/>
                <w:color w:val="auto"/>
              </w:rPr>
              <w:t>11/6/2023</w:t>
            </w:r>
            <w:r>
              <w:rPr>
                <w:rFonts w:ascii="Times New Roman" w:cs="Times New Roman" w:eastAsia="Times New Roman" w:hAnsi="Times New Roman"/>
                <w:sz w:val="25"/>
                <w:szCs w:val="25"/>
                <w:color w:val="auto"/>
                <w:vertAlign w:val="superscript"/>
              </w:rPr>
              <w:t>(4)</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1/1/2024</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109,863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320" w:hanging="424"/>
        <w:spacing w:after="0" w:line="282"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options were granted under the 2019 Plan, the terms of which are described below under “Executive Compensation—Equity Benefit Plans—Amended and Restated 2019 Stock Plan”.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00" w:hanging="424"/>
        <w:spacing w:after="0" w:line="257"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exercisable immediately subject to a repurchase right in favor of the Company which lapses as the option vests. Accordingly, the “Number of Securities Underlying Unexercised Options Unexercisable” column reflects the number of options held by the named executive officer that were outstanding, exercisable and unvested as of December 31, 2023.</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originally subject to the option will vest one year after the vesting commencement date, and 1/48th of the shares originally subject to the option vested or vest monthly thereafter subject to Dr. Maag’s continued service to the company through each vesting date. Upon a Change in Control (as defined in the Maag Offer Letter), the vesting of any then-unvested, unexercised and outstanding portion of the option (or then-unvested and outstanding shares issued upon exercise of the option) will become fully vested.</w:t>
      </w:r>
    </w:p>
    <w:p>
      <w:pPr>
        <w:spacing w:after="0" w:line="1"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originally subject to the option vested one year after the vesting commencement date, and 1/48th of the shares originally subject to the option vested or vest monthly thereafter subject to the named executive officer’s continued service to the Company through each vesting date.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Benefit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order to incentivize our employees and other service providers following the closing of this offering, our board of directors and stockholders have adopted the 2024 Equity Incentive Plan, or the 2024 Plan, which became effective on the date immediately preceding the date upon which the registration statement of which this prospectus forms a part was declared effective by the SEC. The material terms of the 2024 Plan are summarized below. The purpose of the 2024 Plan is provide incentives for our employees, directors and consultants to exert maximum efforts for the success of the Company and our affiliates and to provide a means by which such persons may be given an opportunity to benefit from increases in value of our common stock through the granting of awards. Upon the effectiveness of the 2024 Plan, no further grants may be made under the 2019 Plan.</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2024 Plan provides for the grant of incentive stock options, or ISOs, within the meaning of Section 422 of the Internal Revenue Code of 1986, as amended, or the Code, to our employees and our parent and subsidiary corporations’ employees, and for the grant of nonstatutory stock options, or NSOs, stock appreciation rights, restricted stock awards, restricted stock unit awards and other forms of awards to our employees, directors and consultants and any of our affiliates’ employees and consultants.</w:t>
      </w:r>
    </w:p>
    <w:p>
      <w:pPr>
        <w:spacing w:after="0" w:line="17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Initially, the maximum number of shares of our common stock that may be issued under the 2024 Plan will not exceed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4,215,000 shares of our common stock, plus an additional number of shares not to exceed 3,960,713 shares, consisting of any shares of our common stock subject to outstanding stock options or other stock awards granted under the 2019 Plan that, following the effective date of the 2024 Plan,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our common stock that will be reserved for issuance under the 2024 Plan will automatically increase on January 1 of each year for a period of ten years, beginning on January 1, 2025 and continuing through January 1, 2034, in an amount equal to 5% of the total number of shares of our common stock outstanding on December 31 of the immediately preceding calendar year; provided, however, that our board of directors may act prior to January 1st of a given year to provide that the increase for such year will be a lesser number of shares of our common stock. The maximum number of shares of our common stock that may be issued on the exercise of ISOs under the 2024 Plan is 12,645,000 shares.</w:t>
      </w:r>
    </w:p>
    <w:p>
      <w:pPr>
        <w:spacing w:after="0" w:line="187"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Shares subject to awards that will be granted under the 2024 Plan that expire or terminate without being exercised in full will not reduce the number of shares available for issuance under the 2024 Plan. The settlement of any portion of an award in cash will not reduce the number of shares available for issuance under the 2024 Plan. Shares withheld under an award to satisfy the exercise, strike or purchase price of an award or to satisfy a</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tax withholding obligation will not reduce the number of shares that will be available for issuance under the 2024 Plan. With respect to a stock appreciation right, only shares of our common stock that are issued upon settlement of the stock appreciation right will count towards reducing the number of shares available for issuance under the 2024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2024 Plan.</w:t>
      </w:r>
    </w:p>
    <w:p>
      <w:pPr>
        <w:spacing w:after="0" w:line="18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of directors, will administer the 2024 Plan.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a duly authorized committee of our board of directors, may, in accordance with the terms of the 2024 Plan, delegate to one or more of our officers the authority to (i) designate employees (other than officers) to be recipients of specified awards, and to the extent permitted by applicable law, the terms of such; and (ii) determine the number of shares subject to such awards granted to such employees. Under the 2024 Plan, our board of directors, or a duly authorized committee of our board of directors, will have the authority to determine award recipients, how and when each award will be granted; the types of awards to be granted, grant dates, the number of shares subject to each award, the fair market value of our common stock, and the provisions of each award, including the period of exercisability and the vesting schedule applicable to an award.</w:t>
      </w:r>
    </w:p>
    <w:p>
      <w:pPr>
        <w:spacing w:after="0" w:line="18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2024 Plan, (i) our board of directors will not, without stockholder approval, (A) reduce the exercise or strike price of an option or stock appreciation right (other than in connection with a capitalization adjustment), and (B) at any time when the exercise or strike price of an option or stock appreciation right is above the fair market value of a share of our common stock, cancel and re-grant or exchange such option or stock appreciation right for a new award with a lower (or no) purchase price or for cash, and (ii) a participant’s rights under any award will not be materially adversely affected without the participant’s written consent.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also designate a plan administrator to administer the day-to-day operations of the 2024 Plan.</w:t>
      </w:r>
    </w:p>
    <w:p>
      <w:pPr>
        <w:spacing w:after="0" w:line="22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will be granted under stock option agreements adopted by the plan administrator. The plan administrator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exercise price for stock options, within the terms and conditions of the 2024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2024 Plan will vest at the rate specified in the stock option agreement as will be determined by the plan administrator. The terms and conditions of separate options need not be identical.</w:t>
      </w:r>
    </w:p>
    <w:p>
      <w:pPr>
        <w:spacing w:after="0" w:line="18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No option will be exercisable after the expiration of ten years (or five years in the case of ISOs granted to a ten percent stockholder) or a shorter period specified in the applicable award agreement.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If a participant is suspended pending investigation of whether his or her service relationship with us or any of our affiliates shall be terminated for cause, the participant’s rights to exercise an option will be suspended during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investigation period. An optionholder may not exercise an option at any time that the issuance of shares upon such exercise would violate applicable law. Unless provided otherwise in the optionholder’s stock option agreement or other written agreement between an optionholder and us, if an optionholder’s service relationship with us or any of our affiliates ceases for any reason other than for cause and, at any time during the last thirty days of the applicable post-termination exercise period: (i) the exercise of the optionholder’s option would be prohibited solely because the issuance of shares upon such exercise would violate applicable law, (ii) the immediate sale of any shares issued upon such exercise would violate our trading policy or</w:t>
      </w:r>
    </w:p>
    <w:p>
      <w:pPr>
        <w:spacing w:after="0" w:line="3" w:lineRule="exact"/>
        <w:rPr>
          <w:sz w:val="20"/>
          <w:szCs w:val="20"/>
          <w:color w:val="auto"/>
        </w:rPr>
      </w:pPr>
    </w:p>
    <w:p>
      <w:pPr>
        <w:ind w:left="120" w:hanging="4"/>
        <w:spacing w:after="0" w:line="253" w:lineRule="auto"/>
        <w:tabs>
          <w:tab w:leader="none" w:pos="4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suspended exercisability of such optionholder’s option pending investigation of whether his or her service relationship with us or any of our affiliates shall be terminated for cause,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common stock issued upon the exercise of a stock option will be determined by the plan administrator and may include (i) cash, check, bank draft or money order payable to us; (ii) a broker-assisted cashless exercise; (iii) subject to certain conditions, the tender of shares of our common stock previously owned by the optionholder; (iv) a net exercise of the option if it is an NSO; or (v) other legal consideration approved by the plan administrator.</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or stock appreciation rights generally will not be transferable except by will or the laws of descent and distribution. Subject to approval of the plan administrator or a duly authorized officer, an option may be transferred pursuant to a domestic relations order.</w:t>
      </w:r>
    </w:p>
    <w:p>
      <w:pPr>
        <w:spacing w:after="0" w:line="17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our common stock with respect to ISOs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for the first time by any participant during any calendar year under all of our stock plans or plans of our affiliates may not exceed $100,000. Options or portions thereof that exceed such limit will generally be treated as NSOs. No ISO may be granted to any person who, at the time of the grant, is a ten percent stockholder unless (i) the option exercise price is at least 110% of the fair market value of the stock subject to the option on the date of grant; and (ii) the term of the ISO does not exceed five years from the date of grant.</w:t>
      </w:r>
    </w:p>
    <w:p>
      <w:pPr>
        <w:spacing w:after="0" w:line="183" w:lineRule="exact"/>
        <w:rPr>
          <w:sz w:val="20"/>
          <w:szCs w:val="20"/>
          <w:color w:val="auto"/>
        </w:rPr>
      </w:pPr>
    </w:p>
    <w:p>
      <w:pPr>
        <w:ind w:left="120" w:right="14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Subject to the terms of the 2024 Plan, each restricted stock unit award will have such terms and conditions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plan administrator. A restricted stock unit award represents a participant’s right to be issued on a future date the number of shares of our common 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will generally be granted in consideration for a participant’s services to us or an affiliate, such that the participant will not be required to make any payment to us (other than such services) with respect to the grant or vesting of the restricted stock unit award, or the issuance of any shares pursuant to the restricted stock unit award. If, at the time of grant, our board of directors determines that a participant must pay consideration upon the issuance of shares pursuant to a restricted stock unit award, such consideration may be paid in any form of legal consideration that may be acceptable to our board of directors and permissible under applicable law. A restricted stock unit award may be settled by cash, delivery of stock (or any combination of our common stock and cash), or in any other form of consideration determined by our board of directors and set forth in the restricted stock unit award agreement. At the time of grant, the plan administrator may impose such restrictions or conditions on the award of restricted stock units that delay delivery to a date following the vesting of the award in a manner intended to comply with Section 409A of the Code, as applicable. Additionally, dividends or dividend equivalents may be paid or credited in respect of shares covered by a restricted stock unit award, subject to the same restrictions on transferability and forfeitability as the underlying award with respect to which such dividends or dividend equivalents are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granted and subject to such other terms and conditions as determined by the plan administrator and specified in the applicable restricted stock unit award agreement.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will be granted under restricted stock award agreements adopted by the plan administrator.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may be awarded in consideration for cash, check, bank draft or money order, past or future services to us or any of our affiliates, or any other form of legal consideration that may be acceptable to our board of directors and permissible under applicable law. The plan administrator will determine the terms and conditions of restricted stock awards, including vesting and forfeiture terms. Dividends or dividend equivalents may be paid or credited with respect to shares subject to a restricted stock award, subject to the same restrictions on transferability and forfeitability as the underlying award with respect to which such dividends or dividend equivalents are granted and subject to such other terms and conditions as determined by the plan administrator and specified in the applicable restricted stock award agreement.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will be granted under stock appreciation right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denominated in shares of common stock equivalents. The terms of separation stock appreciation rights need not be identical. The plan administrator will determine the purchase price or strike price for a stock appreciation right, which generally will not be less than 100% of the fair market value of our common stock on the date of grant. A stock appreciation right granted under the 2024 Plan will vest at the rate specified in the stock appreciation right agreement as will be determined by the plan administrator. Stock appreciation rights may be settled in cash or shares of our common stock (or any combination of our common stock and cash) or in any other form of payment, as determined by our board of directors and specified in the stock appreciation right agreement.</w:t>
      </w:r>
    </w:p>
    <w:p>
      <w:pPr>
        <w:spacing w:after="0" w:line="18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plan administrator will determine the term of stock appreciation rights granted under the 2024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 of 12 months following the cessation of service. In the event of a termination for cause, stock appreciation rights generally terminate upon the termination date. If a participant is suspended pending investigation of whether his or her service relationship with us or any of our affiliates shall be terminated for cause, the participant’s rights to exercise a stock appreciation right will be suspended during the investigation period. A holder of a stock appreciation right may not exercise a stock appreciation right at any time that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thirty days of the applicable post-termination exercise period: (i) the exercise of the participant’s stock appreciation right would be prohibited solely because the issuance of shares upon such exercise would violate applicable law, (ii) the immediate sale of any shares issued upon such exercise would violate our trading policy or (iii) our board of directors has suspended exercisability of such optionholder’s option pending investigation of whether his or her service relationship with us or any of our affiliates shall be terminated for cause, then the applicable post-termination exercise period will be extended to the last day of the calendar month that begins after the date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 stock appreciation right be exercised beyond the expiration of its term.</w:t>
      </w:r>
    </w:p>
    <w:p>
      <w:pPr>
        <w:spacing w:after="0" w:line="17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will be permitted to grant other awards, based in whole or in part by reference to, or otherwise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common stock, either alone or in addition to other awards. The plan administrator will have the sole and complete discretion to determine the persons to whom and the time or times at which other stock awards will be granted, the number of shares under the other stock award (or cash equivalent) and all other terms and conditions of such awards.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following the effective date of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any individual for service as a non-employee director with respect to any fiscal year, including awards granted under the 2024 Plan (valued based on the grant date fair value for financial reporting purposes) and cash fees paid by us to such non-employee director, will not exceed $750,000 in total value, except such amount will increase to $1,500,000 for the year in which a non-employee director is first appointed or elected to our board of directors.</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our capital structure, such as a stock split, reverse stock split,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our board of directors will appropriately and proportionately adjust (i) the class and maximum number of shares subject to the 2024 Plan; (ii) the class and maximum number of shares that may be issued on the exercise of ISOs; and (iii) the class and number of shares and exercise price, strike price, or purchase price, if applicable, of all outstanding awards granted under the 2024 Plan.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a corporate transaction (as defined below), unless otherwise provided in a participant’s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written agreement with us or one of our affiliates or unless otherwise expressly provided by the plan administrator at the time of grant, any awards outstanding under the 2024 Plan may be assumed, continued or substituted for, in whole or in part, by any surviving or acquiring corporation (or its parent company), and any reacquisition or repurchase rights held by us with respect to our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awards with performance-based vesting with multiple vesting levels depending on the level of performance, unless provided otherwise in the applicable award agreement, vesting will accelerate at 100% of the target level) to a date prior to the effective time of the corporate transaction (contingent upon the effectiveness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us with respect to such awards will not terminate and may continue to be exercised notwithstanding the corporate transaction.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event an award will terminate if not exercised prior to the effective time of a corporate transaction, the plan administrator may provide, in its sole discretion, that the holder of such award may not exercise such award but instead will receive a payment, in such form as may be determined by our board of directors,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2024 Plan governing a corporate transaction involving 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2024 Plan, a “corporate transaction” generally will be the consummation, in a single transaction or in a series of related transactions, of</w:t>
      </w:r>
    </w:p>
    <w:p>
      <w:pPr>
        <w:spacing w:after="0" w:line="27" w:lineRule="exact"/>
        <w:rPr>
          <w:sz w:val="20"/>
          <w:szCs w:val="20"/>
          <w:color w:val="auto"/>
        </w:rPr>
      </w:pPr>
    </w:p>
    <w:p>
      <w:pPr>
        <w:jc w:val="both"/>
        <w:ind w:left="120" w:right="20" w:hanging="4"/>
        <w:spacing w:after="0" w:line="265" w:lineRule="auto"/>
        <w:tabs>
          <w:tab w:leader="none" w:pos="33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 or other disposition of all or substantially all, as determined by our board of directors, of our consolidated assets; (ii) a sale or other disposition of at least 50% of our outstanding securities; (iii) a merger, consolidation or similar transaction following which we are not the surviving corporation; or</w:t>
      </w:r>
    </w:p>
    <w:p>
      <w:pPr>
        <w:ind w:left="120" w:right="320" w:hanging="4"/>
        <w:spacing w:after="0" w:line="260" w:lineRule="auto"/>
        <w:tabs>
          <w:tab w:leader="none" w:pos="42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79"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Awards to be granted under the 2024 Plan may be subject to acceleration of vesting and exercisability upon or after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(as defined below) as may be provided in the applicable stock award agreement or in any other written agreement between us or any affiliate and the participant, but in the absence of such provision, no such acceleration will automatically occur.</w:t>
      </w:r>
    </w:p>
    <w:p>
      <w:pPr>
        <w:spacing w:after="0" w:line="17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2024 Plan, a “change in control” generally will be: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(iii) stockholder approval of a complete dissolution or liquidation; (iv)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(v)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8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Except as expressly provided in the 2024 Plan or the form of award agreement, awards granted under the 2024 Plan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or assigned by a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our trading policy and applicable law.</w:t>
      </w:r>
    </w:p>
    <w:p>
      <w:pPr>
        <w:spacing w:after="0" w:line="183"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Clawback/Recovery</w:t>
      </w:r>
      <w:r>
        <w:rPr>
          <w:rFonts w:ascii="Times New Roman" w:cs="Times New Roman" w:eastAsia="Times New Roman" w:hAnsi="Times New Roman"/>
          <w:sz w:val="18"/>
          <w:szCs w:val="18"/>
          <w:color w:val="auto"/>
        </w:rPr>
        <w:t>. All awards granted under the 2024 Plan will be subject to recoupment in accordance with any clawback policy that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adopt pursuant to the listing standards of any national securities exchange or association on which our securities are listed or as is otherwise required by the Dodd-Frank Wall Street Reform and Consumer Protection Act or other applicable law and any clawback policy that we otherwise adopt, to the extent applicable and permissible under applicable law. In addition, our board of directors may impose such other clawback, recovery or recoupment provisions in an award agreement as our board of directors determines necessary or appropriate, including but not limited to a reacquisition right in respect of previously acquired shares of our common stock or other cash or property upon the occurrence of cause.</w:t>
      </w:r>
    </w:p>
    <w:p>
      <w:pPr>
        <w:spacing w:after="0" w:line="182"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Amendment or Termination</w:t>
      </w:r>
      <w:r>
        <w:rPr>
          <w:rFonts w:ascii="Times New Roman" w:cs="Times New Roman" w:eastAsia="Times New Roman" w:hAnsi="Times New Roman"/>
          <w:sz w:val="17"/>
          <w:szCs w:val="17"/>
          <w:color w:val="auto"/>
        </w:rPr>
        <w:t>. Our board of directors may accelerate the time at which an award granted under the 2024 Plan may first be exercised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the time during which an award grant under the 2024 Plan or any part thereof will vest, notwithstanding the provisions in the award agreement stating the time at which it may first be exercised or the time during which it will vest. Our board of directors will have the authority to amend, suspend, or terminate the 2024 Plan at any time, provided that such action does not materially impair the existing rights of any participant without such participant’s written consent. Certain material amendments will also require the approval of our stockholders. No ISOs may be granted after the tenth anniversary of the date our board of directors adopts the 2024 Plan. No awards may be granted under the 2024 Plan while it is suspended or after it is terminated.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file a registration statement on Form S-8 to register all of the shares of our common stock reserved for issuance under the 2024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2019 Stock Plan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adopted and our stockholders initially approved the 2019 Stock Plan, or the 2019 Plan, in July 2019, and it was most recently amended in November 2023. No further awards will be made under the 2019 Plan after this offering; however, awards outstanding under the 2019 Plan will continue to be governed by their existing terms.</w:t>
      </w:r>
    </w:p>
    <w:p>
      <w:pPr>
        <w:spacing w:after="0" w:line="17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As of September 30, 2023, we have reserved 4,039,686 shares of our common stock for issuance under the 2019 Plan,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1,538,089 shares of our common stock were added to the number of shares reserved for future issuance under the 2019 Plan in November 2023. The maximum number of shares of our common stock that may be issued pursuant to the exercise of ISOs under the 2019 Plan is 16,733,329. As of September 30, 2023, options to purchase 2,338,555 shares of our common stock, at exercise prices ranging from $0.32 to $4.42 per share, or a weighted-average exercise price of $3.56 per share were outstanding under the 2019 Plan, and 670,633 shares of our common stock remained available for future issuance under the 2019 Plan. Unissued shares subject to awards that expire, are forfeited, or are cancelled, shares reacquired by us and shares withheld in payment of the purchase price or exercise price of an award or in satisfaction of withholding taxes will again become available for issuance under the 2019 Plan or, following consummation of this offering, under the 2024 Plan.</w:t>
      </w:r>
    </w:p>
    <w:p>
      <w:pPr>
        <w:spacing w:after="0" w:line="185"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or a committee thereof, has administered the 2019 Plan since its adoption; however, following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the Compensation Committee of our board of directors will generally administer the 2019 Plan. The administrator has complete discretion to make all decisions relating to the 2019 Plan and outstanding awards.</w:t>
      </w:r>
    </w:p>
    <w:p>
      <w:pPr>
        <w:spacing w:after="0" w:line="173"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non-employee members of our board of directors and consultants are eligible to participate in the 2019 Plan.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employees are eligible to receive incentive stock options.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2019 Plan provides for the following types of awards granted with respect to shares of our common stock:</w:t>
      </w:r>
    </w:p>
    <w:p>
      <w:pPr>
        <w:spacing w:after="0" w:line="133"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and nonstatutory stock options to purchase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award or sale of shares of our common stock, including restricted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22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exercise price for options granted under the 2019 Plan is determined by our board of directors, but may not be less than 100%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market value of our common stock on the grant date. Optionees may pay the exercise price in cash or cash equivalents or by one, or any combination of, the following forms of payment, as permitted by the administrator in its sole discretion:</w:t>
      </w:r>
    </w:p>
    <w:p>
      <w:pPr>
        <w:spacing w:after="0" w:line="81"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of our common stock that the optionee already owns;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full-recourse promissory note, with the option shares pledged as security against the principal and accrued interest on the note;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immediate sale of the option shares through a company-approved broker, if the shares of our common stock are publicly traded;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 or</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methods permitted by the General Corporation Law of the State of Delaware, as amended.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optionee’s service terminates.</w:t>
      </w:r>
    </w:p>
    <w:p>
      <w:pPr>
        <w:spacing w:after="0" w:line="174"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Restricted shares may be awarded or sold under the 2019 Plan in return for cash or cash equivalents or, as permitted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in its sole discretion, in exchange for services rendered to us, by delivery of a full-recourse promissory note or through any other means permitted by applicable law. Restricted shares vest as determined by the administrator.</w:t>
      </w:r>
    </w:p>
    <w:p>
      <w:pPr>
        <w:spacing w:after="0" w:line="173"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Restricted stock units may be awarded or sold under the 2019 Plan. No cash consideration shall be required of the recipient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grant of restricted stock units. Settlement of vested restricted stock units may be made in the form of cash, shares of our common stock, or any combination of both, as determined by the administrator. Restricted stock units vest as determined by the administrator.</w:t>
      </w:r>
    </w:p>
    <w:p>
      <w:pPr>
        <w:spacing w:after="0" w:line="17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that we are a party to a merger or consolidation or in the event of a sale of all or substantially all of our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assets, awards granted under the 2019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87"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assumption or substitution of an award by the surviving entity or its parent;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vested portion of the award in exchange for a payment equal to the excess, if any, of the value of the shares subject to the award over any exercise price per share applicable to the award;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award without payment of any consideration;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the optionee’s right to exercise the option during a limited period of time preceding the completion of the transaction;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any right the optionee has to exercise the option prior to vesting in the shares subject to the option.</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administrator is not obligated to treat all awards in the same manner. The administrator has the discretion, at any time, to provide that an award under the 2019 Plan will vest on an accelerated basis in connection with a corporate transaction or to amend or modify an award so long as such amendment or modification is not inconsistent with the terms of the 2019 Plan or would not result in the impairment of a participant’s rights without the participant’s consent.</w:t>
      </w:r>
    </w:p>
    <w:p>
      <w:pPr>
        <w:spacing w:after="0" w:line="17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Changes in Capitalization</w:t>
      </w:r>
      <w:r>
        <w:rPr>
          <w:rFonts w:ascii="Times New Roman" w:cs="Times New Roman" w:eastAsia="Times New Roman" w:hAnsi="Times New Roman"/>
          <w:sz w:val="18"/>
          <w:szCs w:val="18"/>
          <w:color w:val="auto"/>
        </w:rPr>
        <w:t>. In the event of certain specified changes in the capital structure of our common stock, such as a stock split,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stock dividend, reclassification or any other increase or decrease in the number of issued shares of stock effective without receipt of consideration by us, proportionate adjustments will automatically be made in (i) each of the number and kind of shares available for future grants under the 2019 Plan, (ii) the number and kind of shares covered by each outstanding award, (iii) the exercise price per share subject to each outstanding option and (iv) any repurchase price applicable to shares granted under the 2019 Plan. In the event of an extraordinary cash divided that has a material effect on the fair market value of our common stock, a recapitalization, spin-off or other similar occurrence, the administrator at its sole discretion may make appropriate adjustments to one or more of the items described above.</w:t>
      </w:r>
    </w:p>
    <w:p>
      <w:pPr>
        <w:spacing w:after="0" w:line="183"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Amendments or Termination</w:t>
      </w:r>
      <w:r>
        <w:rPr>
          <w:rFonts w:ascii="Times New Roman" w:cs="Times New Roman" w:eastAsia="Times New Roman" w:hAnsi="Times New Roman"/>
          <w:sz w:val="18"/>
          <w:szCs w:val="18"/>
          <w:color w:val="auto"/>
        </w:rPr>
        <w:t>. The administrator may at any time amend, suspect or terminate the 2019 Plan, subject to stockholder approval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an amendment if the amendment increases the number of shares available for issuance or materially changes the class of persons eligible to receive incentive stock options. The 2019 Plan will terminate automatically ten years after the later of the date when our board of directors adopted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plan or the date when our board of directors most recently approved an increase in the number of shares reserved thereunder which was also approved by our stockholders, provided, however, that in any event, it will terminate upon the completion of this offering, but as noted above, awards outstanding under the 2019 Plan will remain outstanding and will continue to be governed by their existing terms.</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We intend to file a registration statement on Form S-8 to register all of the shares of our common stock reserved for issuance pursuant to outstanding awards granted under the 2019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order to incentivize our employees following the closing of this offering, our board of directors and stockholders have adopted the ESPP, which became effective on the date immediately preceding the date upon which the registration statement of which this prospectus forms a part was declared effective by the SEC. The material terms of the ESPP are summarized below.</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ESPP is to secure the services of new employees, to retain the services of existing employees, and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for such individuals to exert maximum efforts toward our success and that of our related corporations. The ESPP will include two components. One component is designed to allow eligible U.S. employees to purchase our common stock in a manner that may qualify for favorable tax treatment under Section 423 of the Code, or the 423 Component, and accordingly, it will be construed in a manner that is consistent with the requirements of Section 423 of the Code. We intend (but make no undertaking or representation to maintain) the 423 Component to qualify as an employee stock purchase plan, as that term is defined in Section 423(b) of the Code. The other component will permit the grant of purchase rights that do not qualify for such favorable tax treatment, or the Non-423 Component, in order to allow deviations necessary to permit participation by eligible employees who are foreign nationals or employed outside of the United States while complying with applicable foreign laws, and except as otherwise provided in the ESPP or determined by our board of directors, it will operate and be administered in the same manner as the 423 Component.</w:t>
      </w:r>
    </w:p>
    <w:p>
      <w:pPr>
        <w:spacing w:after="0" w:line="188"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Share Reserve</w:t>
      </w:r>
      <w:r>
        <w:rPr>
          <w:rFonts w:ascii="Times New Roman" w:cs="Times New Roman" w:eastAsia="Times New Roman" w:hAnsi="Times New Roman"/>
          <w:sz w:val="17"/>
          <w:szCs w:val="17"/>
          <w:color w:val="auto"/>
        </w:rPr>
        <w:t>. Initially, the maximum number of shares of our common stock that may be issued under the ESPP will not exceed 422,000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our common stock. The number of shares of our common stock that will be reserved for issuance will automatically increase on January 1 of each year for a period of ten years, beginning on January 1, 2025 and ending on (and continuing through) January 1, 2034, in an amount equal to the lesser of</w:t>
      </w:r>
    </w:p>
    <w:p>
      <w:pPr>
        <w:spacing w:after="0" w:line="1" w:lineRule="exact"/>
        <w:rPr>
          <w:sz w:val="20"/>
          <w:szCs w:val="20"/>
          <w:color w:val="auto"/>
        </w:rPr>
      </w:pPr>
    </w:p>
    <w:p>
      <w:pPr>
        <w:ind w:left="120" w:right="100" w:hanging="4"/>
        <w:spacing w:after="0" w:line="252" w:lineRule="auto"/>
        <w:tabs>
          <w:tab w:leader="none" w:pos="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our common stock outstanding on December 31 of the immediately preceding calendar year; and (ii) 422,000 shares; provided, however, that our board of directors may act prior to January 1 of a given year to provide that there will be no increase for such calendar year or the increase for such year will be a lesser number of shares than the amount set forth in clauses (i) and (ii) above. For the avoidance of doubt, up to the maximum number of shares of our common stock reserved may be used to satisfy purchases of our common stock under the 423 Component and any remaining portion of such maximum number of shares may be used to satisfy the purchases of our common stock under the Non-423 Component.</w:t>
      </w:r>
    </w:p>
    <w:p>
      <w:pPr>
        <w:spacing w:after="0" w:line="19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any purchase right granted under the ESPP terminates without having been exercised in full, the shares of our common stock not purchased under such purchase right will again become available for issuance under the ESPP.</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common stock purchasable under the ESPP will be shares of authorized but unissued or reacquired common stock, including shares repurchased by us on the open market.</w:t>
      </w:r>
    </w:p>
    <w:p>
      <w:pPr>
        <w:spacing w:after="0" w:line="16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will administer the ESPP. Our board of directors may delegate some or all of the administration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to a committee or committees of our board of directors. All references to our board of directors in this summary shall include a duly authorized committee of our board of directors except where the context dictates otherwise. Further, to the extent not prohibited by applicable law, our board of directors may, from time to time, delegate some or all of its authority under the ESPP to one or more of our</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55"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officers or other persons or groups of persons as it deems necessary, appropriate or advisable under conditions or limitations that it may set at or after the time of the delegation. Our board of directors will have the authority to determine how and when purchase rights are granted and the provisions of each offering; to designate, from time to time, which of our related corporations will be eligible to participate in the 423 Component or the</w:t>
      </w:r>
    </w:p>
    <w:p>
      <w:pPr>
        <w:spacing w:after="0" w:line="1"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Non-423 Component, or which related corporations will be eligible to participate in each separate offering; to construe and interpret the ESPP and purchase rights thereunder, and to establish, amend and revoke rules and regulations for the ESPP’s administration; to settle all controversies regarding the ESPP and purchase rights granted thereunder; to amend, suspend or terminate the ESPP; to exercise such powers and to perform such acts as it deems necessary or expedient to promote the best interests of us and our related corporations and to carry out the intent of the ESPP to be treated as an employee stock purchase plan with respect to the 423 Component; and to adopt such rules, procedures and sub-plans as are necessary or appropriate to permit or facilitate participation in the ESPP by employees who are foreign nationals or employed or located outside the United States.</w:t>
      </w:r>
    </w:p>
    <w:p>
      <w:pPr>
        <w:spacing w:after="0" w:line="19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All determinations, interpretations and constructions made by our board of directors in good faith will not be subject to review by any person and will be final, binding and conclusive on all persons.</w:t>
      </w:r>
    </w:p>
    <w:p>
      <w:pPr>
        <w:spacing w:after="0" w:line="160"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Offerings</w:t>
      </w:r>
      <w:r>
        <w:rPr>
          <w:rFonts w:ascii="Times New Roman" w:cs="Times New Roman" w:eastAsia="Times New Roman" w:hAnsi="Times New Roman"/>
          <w:sz w:val="18"/>
          <w:szCs w:val="18"/>
          <w:color w:val="auto"/>
        </w:rPr>
        <w:t>. Our board of directors may grant or provide for the grant of purchase rights to eligible employees under an offering (consisting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purchase periods) on an offering date or offering dates selected by our board of directors. Each offering will be in the form and will contain those terms and conditions as our board of directors deems appropriate, and, with respect to the 423 Component, will comply with the requirements of Section 423(b)(5) of the Code. The provisions of separate offerings do not need to be identical, but each offering will include the period during which the offering will be effective, which period will not exceed 27 months beginning with the offering date, and the substance of the applicable provisions contained in the ESPP.</w:t>
      </w:r>
    </w:p>
    <w:p>
      <w:pPr>
        <w:spacing w:after="0" w:line="18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a participant has more than one purchase right outstanding under the ESPP, unless he or she otherwise indicates in forms delivered to us or a third party designee of ours: (i) each form will apply to all of his or her purchase rights under the ESPP,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will have the discretion to structure an offering so that if the fair market value of a share of our common stock on the first trading day of a new purchase period within that offering is less than or equal to the fair market value of a share of our common stock on the first day of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7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Generally, purchase rights may only be granted to employees, including executive officers, employed by us (or by any of our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related corporations as designated by our board of directors) on the first day of an offering if such employee has been employed by us or by one of our designated affiliates or related corporations for such continuous period preceding such date as our board of directors may require, but in no event will the required period of continuous employment be equal to or greater than two years with respect to the 423 Component. Our board of directors may (unless prohibited by applicable law) require that employees have to satisfy one or both of the following service requirements with respect to the 423 Component: (i) being customarily employed by us, or any of our related corporations or affiliates, for more than 20 hours per week and more than five months per calendar year; or (ii) such other criteria as our board of directors may determine consistent with Section 423 of the Code with respect to the 423 Component. Our board of directors may provide that each person who, during the course of an offering, first becomes an eligible employee will, on the date or dates specified in the offering which coincides with the day on which the person becomes an eligible employee or which occurs thereafter, receive a purchase right under that offering, and the purchase right will thereafter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deemed to be part of the offering with substantially identical characteristics. With respect to the 423 Component, no employee will be eligible for the grant of any purchase rights under the ESPP if immediately after such rights are granted, such employee owns stock possessing five percent or more of the total combined voting power or value of all classes of our outstanding capital stock (or the stock of any related corporation) determined in accordance with the rules of Section 424(d) of the Code. With respect to the 423 Component, as specified by Section 423(b)(8) of the Code, an employee may be granted purchase rights only if such purchase rights, together with any other rights granted under all employee stock purchase plans of ours or any of our related corporations, do not permit such employee’s rights to purchase our stock or the stock of any of our related corporations to accrue at a rate which, when aggregated, exceeds $25,000 (based on the fair market value per share of such common stock on the date that the purchase right is granted) for each calendar year such purchase rights are outstanding at any time. Our board of directors may also exclude from participation in the ESPP or any offering employees of ours, or of any of our related corporation, who are highly compensated employees, as within the meaning of Section 423(b)(4)(D) of the Code, or a subset of such highly compensated employees.</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in the foregoing paragraph to the contrary, in the case of an offering under the Non-423 Component, an employee (or a group of employees) may be excluded from participation in the ESPP or an offering if our board of directors has determined, in its sole discretion, that participation of such employee is not advisable or practical for any reason.</w:t>
      </w:r>
    </w:p>
    <w:p>
      <w:pPr>
        <w:spacing w:after="0" w:line="174" w:lineRule="exact"/>
        <w:rPr>
          <w:sz w:val="20"/>
          <w:szCs w:val="20"/>
          <w:color w:val="auto"/>
        </w:rPr>
      </w:pPr>
    </w:p>
    <w:p>
      <w:pPr>
        <w:ind w:left="120" w:righ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Purchase Rights; Purchase Price</w:t>
      </w:r>
      <w:r>
        <w:rPr>
          <w:rFonts w:ascii="Times New Roman" w:cs="Times New Roman" w:eastAsia="Times New Roman" w:hAnsi="Times New Roman"/>
          <w:sz w:val="17"/>
          <w:szCs w:val="17"/>
          <w:color w:val="auto"/>
        </w:rPr>
        <w:t>. On the first day of each offering, each eligible employee, pursuant to an offering made under the ESPP, will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a purchase right to purchase up to that number of shares purchasable either with a percentage or with a maximum dollar amount, as designated by our board of directors, which will not exceed 15% of such employee’s earnings (as defined by our board of directors) during each period that begins on the first day of the offering (or such later date as our board of directors determines for a particular offering) and ends on the date stated in the offering, which date will be no later than the end of the offering. Our board of directors will establish one or more purchase dates during an offering on which purchase rights granted for that offering will be exercised and shares of our common stock will be purchased in accordance with such offering. Each eligible employee may purchase of up to 14,700 shares of our common stock in an offering (or such lesser number of shares determined by our board of directors prior to the start of the offering). Our board of directors may also specify (i) a maximum number of shares that may be purchased by any participant on any purchase date during an offering, (ii) a maximum aggregate number of shares that may be purchased by all participants in an offering and/or (iii) a maximum aggregate number of shares that may be purchased by all participants on any purchase date under an offering. If the aggregate number of shares issuable upon exercise of purchase rights granted under the offering would exceed any such maximum aggregate number, then, in the absence of any action by our board of directors otherwise, a pro rata allocation of the shares (rounded down to the nearest whole share) available, based on each participant’s accumulated contributions, will be made in as nearly a uniform manner as will be practicable and equitable.</w:t>
      </w:r>
    </w:p>
    <w:p>
      <w:pPr>
        <w:spacing w:after="0" w:line="17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purchase price of shares acquired pursuant to purchase rights will not be less than the lesser of (i) 85% of the fair market value of a share of our common stock on the first day of an offering; or (ii) 85% of the fair market value of a share of our common stock on the date of purchase.</w:t>
      </w:r>
    </w:p>
    <w:p>
      <w:pPr>
        <w:spacing w:after="0" w:line="16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Participation; Withdrawal; Termination</w:t>
      </w:r>
      <w:r>
        <w:rPr>
          <w:rFonts w:ascii="Times New Roman" w:cs="Times New Roman" w:eastAsia="Times New Roman" w:hAnsi="Times New Roman"/>
          <w:sz w:val="18"/>
          <w:szCs w:val="18"/>
          <w:color w:val="auto"/>
        </w:rPr>
        <w:t>. An eligible employee may elect to participate in an offering and authorize payroll deductions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of making contributions by completing and delivering to us or our designee, within the time specified in the offering, an enrollment form provided by us or our designee. The enrollment form will specify the amount of contributions not to exceed the maximum amount specified by our board of directors, but in any event not to exceed 15% of the eligible employee’s base wages. Each participant’s contributions will be credited to a bookkeeping account for the participant under the ESPP and will be deposited with our general funds except where applicable law requires that contributions be deposited with a third party. If permitted in the offering, a participant may begin such contributions with the first payroll occurring on or after the first day of the applicable offering (or, in the case of a payroll date that occurs after the end of the prior offering but before the first day of the next new offering, contributions from such payroll will be included in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new offering). If permitted in the offering, a participant may thereafter reduce (including to zero) or increase his or her contributions. If required under applicable law or if specifically provided in the offering, in addition to or instead of making contributions by payroll deductions, a participant may make contributions through payment by cash, check or wire transfer prior to a purchase date.</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us or our designee a withdrawal form provided by us. We may impose a deadline before a purchase date for withdrawing. Upon such withdrawal, such participant’s purchase right in that offering will immediately terminate and we will distribute as soon as practicable to such participant all of his or her accumulated but unused contributions and such participant’s purchase right in that offering shall then terminate. A participant’s withdrawal from that offering will have no effect upon his or her eligibility to participate in any other offerings under the ESPP, but such participant will be required to deliver a new enrollment form to participate in subsequent offerings.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ESPP will terminate immediately if the participant either (i) is no longer an employee for any reason or for no reason (subject to any post-employment participation period required by applicable law) or (ii) is otherwise no longer eligible to participate. We will distribute the individual’s accumulated but unused contributions as soon as practicable to such individual.</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Unless otherwise determined by our board of directors, a participant whose employment transfers or whose employment terminates with an immediate rehire (with no break in service) by or between us and one of our designated companies designated to participate in an offering (or between such designated companies) will not be treated as having terminated employment for purposes of participating in the ESPP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Our board of directors may establish different and additional rules governing transfers between separate offerings within the 423 Component and between offerings under the 423 Component and offerings under the Non-423 Component. Unless otherwise specified in the offering or as required by applicable law, we will have no obligation to pay interest on contributions.</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Purchase of Shares</w:t>
      </w:r>
      <w:r>
        <w:rPr>
          <w:rFonts w:ascii="Times New Roman" w:cs="Times New Roman" w:eastAsia="Times New Roman" w:hAnsi="Times New Roman"/>
          <w:sz w:val="18"/>
          <w:szCs w:val="18"/>
          <w:color w:val="auto"/>
        </w:rPr>
        <w:t>. On each purchase date, each participant’s accumulated contributions will be applied to the purchase of shares, up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number of shares permitted by the ESPP and the applicable offering, at the purchase price specified in the offering. Unless otherwise provided in the offering, if any amount of accumulated contributions remains in a participant’s account after the purchase of shares on the final purchase date of an offering, then such remaining amount will not roll over to the next offering and will instead be distributed in full to such participant after the final purchase date of such offering without interest (unless otherwise required by applicable law). No purchase rights may be exercised to any extent unless the shares of our common stock to be issued upon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a purchase date the shares of our common stock are not so registered or the ESPP is not in such compliance, no purchase rights will be exercised on such purchase date, and the purchase date will be delayed until the shares of our common stock are subject to such an effective registration statement and the ESPP is in material compliance, except that the purchase date will in no event be more than 27 months from the first day of an offering. If, on the purchase date, as delayed to the maximum extent permissible, the shares of our common stock are not registered and the ESPP is not in material compliance with all applicable laws, as determined by us in our sole discretion, no purchase rights will be exercised and all accumulated but unused contributions will be distributed to the ESPP participants without interest (unless the payment of interest is otherwise required by applicable law).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our common stock subject to purchase rights unless and until the participant’s shares of our common stock acquired upon exercise of purchase rights are recorded in our books (or the books of our transfer agent).</w:t>
      </w:r>
    </w:p>
    <w:p>
      <w:pPr>
        <w:spacing w:after="0" w:line="17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The ESPP provides that in the event of a change in our capital structure through actions such as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our board of directors will appropriately and proportionately adjust: (i) the class(es) and maximum number of shares subject to the ESPP; (ii) the class(es) and maximum number of shares by which the share reserve is to increase automatically each year; (iii) the class(es) and number of shares subject to, and purchase price applicable to, outstanding offerings and purchase rights; and (iv) the class(es) and number of shares that are subject to purchase limits under each ongoing offering. Our board of directors will make these adjustments, and its determination will be final, binding and conclusive.</w:t>
      </w:r>
    </w:p>
    <w:p>
      <w:pPr>
        <w:spacing w:after="0" w:line="183" w:lineRule="exact"/>
        <w:rPr>
          <w:sz w:val="20"/>
          <w:szCs w:val="20"/>
          <w:color w:val="auto"/>
        </w:rPr>
      </w:pPr>
    </w:p>
    <w:p>
      <w:pPr>
        <w:ind w:left="120" w:right="2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Corporate Transactions</w:t>
      </w:r>
      <w:r>
        <w:rPr>
          <w:rFonts w:ascii="Times New Roman" w:cs="Times New Roman" w:eastAsia="Times New Roman" w:hAnsi="Times New Roman"/>
          <w:sz w:val="17"/>
          <w:szCs w:val="17"/>
          <w:color w:val="auto"/>
        </w:rPr>
        <w:t>. The ESPP provides that in the event of a corporate transaction (as defined below), any then-outstanding rights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our common stock under the ESPP may be assumed, continued, or substituted for by any surviving or acquiring corporation (or its parent company). If the surviving or acquiring corporation (or its parent company) elects not to assume, continue, or substitute for such purchase rights, then</w:t>
      </w:r>
    </w:p>
    <w:p>
      <w:pPr>
        <w:spacing w:after="0" w:line="1" w:lineRule="exact"/>
        <w:rPr>
          <w:sz w:val="20"/>
          <w:szCs w:val="20"/>
          <w:color w:val="auto"/>
        </w:rPr>
      </w:pPr>
    </w:p>
    <w:p>
      <w:pPr>
        <w:ind w:left="120" w:right="160" w:hanging="4"/>
        <w:spacing w:after="0" w:line="253" w:lineRule="auto"/>
        <w:tabs>
          <w:tab w:leader="none" w:pos="3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accumulated payroll contributions will be used to purchase shares of our common stock (rounded down to the nearest whole share) within 10 business days (or such other period specified by our board of directors) before such corporate transaction under the outstanding purchase rights, and such purchase rights will terminate immediately after such purchase, or (ii) our board of directors, in its discretion, may terminate outstanding offerings, cancel the outstanding purchase rights and refund the participants’ accumulated contributions.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the ESPP, a “corporate transaction” is generally the consummation, in a single transaction or in a series of related transactions, of: (i) a sale or other disposition of all or substantially all, as determined by our board of directors, of the consolidated assets of us and our subsidiaries;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81"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During a participant’s lifetime, purchase rights will be exercisable only by a participant. Purchase rights are not transferable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except by will, by the laws of descent and distribution, or, if permitted by us, by a beneficiary designation.</w:t>
      </w:r>
    </w:p>
    <w:p>
      <w:pPr>
        <w:spacing w:after="0" w:line="158"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Tax Withholding</w:t>
      </w:r>
      <w:r>
        <w:rPr>
          <w:rFonts w:ascii="Times New Roman" w:cs="Times New Roman" w:eastAsia="Times New Roman" w:hAnsi="Times New Roman"/>
          <w:sz w:val="17"/>
          <w:szCs w:val="17"/>
          <w:color w:val="auto"/>
        </w:rPr>
        <w:t>. Each participant must make arrangements, satisfactory to us and any applicable related corporation, to enable us or our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 to fulfill any withholding obligation for taxes arising out of or in relation to a participant’s participation in the ESPP. In our sole discretion and subject to applicable law, such withholding obligation may be satisfied in whole or in part by (i) withholding from the participant’s salary or any other cash payment due to the participant from us or any related corporation; (ii) withholding from the proceeds of the sale of shares of our common stock acquired under the ESPP, either through a voluntary sale or a mandatory sale arranged by us; or (iii) any other method deemed acceptable by our board of directors. We will not be required to issue any shares of our common stock under the ESPP until such obligations are satisfied.</w:t>
      </w:r>
    </w:p>
    <w:p>
      <w:pPr>
        <w:spacing w:after="0" w:line="16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Amendment, Suspension or Termination</w:t>
      </w:r>
      <w:r>
        <w:rPr>
          <w:rFonts w:ascii="Times New Roman" w:cs="Times New Roman" w:eastAsia="Times New Roman" w:hAnsi="Times New Roman"/>
          <w:sz w:val="18"/>
          <w:szCs w:val="18"/>
          <w:color w:val="auto"/>
        </w:rPr>
        <w:t>. Our board of directors will have the authority to amend, suspend or terminate the ESPP. Any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privileges, entitlements and obligations under any outstanding purchase right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regulations (including, without limitation, the provisions of Section 423 of the Code), or (iii) as necessary to obtain or maintain favorable tax, listing, or regulatory treatment. Except with respect to certain changes in our capital structure, stockholder approval is required for any amendment to the ESPP if such approval is required by applicable law or listing requirements. No purchase rights may be granted under the ESPP while it is suspended or after it is terminated.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file a registration statement on Form S-8 to register all of the shares of our common stock reserved for issuance under the ESPP.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become effective immediately prior to the closing of this offering, will provide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 Delaware law provides that directors and officers of a corporation will not be personally liable for monetary damages for any breach of fiduciary duties as directors or officers, except liability for:</w:t>
      </w:r>
    </w:p>
    <w:p>
      <w:pPr>
        <w:spacing w:after="0" w:line="93"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director, unlawful payments of dividends or unlawful stock repurchases or redemptions;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officer, derivative claims brought on behalf of the corporation by a stockholder;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amended and restated certificate of incorporation provisions and indemnification agreements are necessary to attract and retain qualified persons as directors and officers. We also maintain customary directors’ and officers’ liability insurance.</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material nonpublic information, subject to compliance with the terms of our insider trading policy and any applicable Rule 10b5-1 guidelines. Prior to 180 days after the date of the closing of this offering, subject to early termination, the sale of any shares under such Rule 10b5-1 plan would be subject to the lock-up agreement that the director or executive officer has entered into with the underwriters in connection with this offering.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2021 and any currently proposed transactions to which we have been a participant in which the amount involved exceeded or will exceed the lesser of $120,000 or 1% of the average of our total assets as of each of December 31, 2021 and 2022, and in which any of our then directors, executive officers or holders of more than 5% of any class of our capital stock at the time of such transaction, or any members of their immediate family, had or will have a direct or indirect material interest, other than compensation arrangements which are described in the sections of this prospectus titled “Executive Compensation” and “Management—Non-Employee Director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B Preferred Stock Financing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multiple closings held between November 9, 2021 and July 31, 2023, we issued and sold an aggregate of 77,461,394 shares of our Series B convertible preferred stock at a purchase price of $1.8719 per share for an aggregate purchase price of $144,999,983.61. In addition, on December 29, 2021, we issued 3,739,515 shares of Series B convertible preferred stock in consideration for a certain license agreement entered into by us for a non-cash purchase price of $6,999,998.13.</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Series B convertible preferred stock purchased by holders of more than 5% of our capital stock as of the date of the applicable closing of the Series B convertible preferred stock, and entities affiliated with certain of our executive officers and directors. Each outstanding share of Series B convertible preferred stock identified in the table below will automatically convert into shares of our common stock at a ratio of one-for-4.5511 immediately prior to the closing of this offering.</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Purchased</w:t>
            </w:r>
          </w:p>
        </w:tc>
        <w:tc>
          <w:tcPr>
            <w:tcW w:w="13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3"/>
        </w:trPr>
        <w:tc>
          <w:tcPr>
            <w:tcW w:w="5580" w:type="dxa"/>
            <w:vAlign w:val="bottom"/>
            <w:vMerge w:val="continue"/>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Northpond Ventures III, LP</w:t>
            </w:r>
            <w:r>
              <w:rPr>
                <w:rFonts w:ascii="Times New Roman" w:cs="Times New Roman" w:eastAsia="Times New Roman" w:hAnsi="Times New Roman"/>
                <w:sz w:val="24"/>
                <w:szCs w:val="24"/>
                <w:color w:val="auto"/>
                <w:vertAlign w:val="superscript"/>
              </w:rPr>
              <w:t>(2)</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12,767,776</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23,899,999.90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Westlake BioPartners Fund I, L.P.</w:t>
            </w:r>
            <w:r>
              <w:rPr>
                <w:rFonts w:ascii="Times New Roman" w:cs="Times New Roman" w:eastAsia="Times New Roman" w:hAnsi="Times New Roman"/>
                <w:sz w:val="25"/>
                <w:szCs w:val="25"/>
                <w:color w:val="auto"/>
                <w:vertAlign w:val="superscript"/>
              </w:rPr>
              <w:t>(3)</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7,356,162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13,769,999.66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Vida Ventures, LLC</w:t>
            </w:r>
            <w:r>
              <w:rPr>
                <w:rFonts w:ascii="Times New Roman" w:cs="Times New Roman" w:eastAsia="Times New Roman" w:hAnsi="Times New Roman"/>
                <w:sz w:val="25"/>
                <w:szCs w:val="25"/>
                <w:color w:val="auto"/>
                <w:vertAlign w:val="superscript"/>
              </w:rPr>
              <w:t>(4)</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7,356,162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13,769,999.66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Gilead Sciences, Inc.</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7,746,139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14,499,997.60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RTW Investments LP</w:t>
            </w:r>
            <w:r>
              <w:rPr>
                <w:rFonts w:ascii="Times New Roman" w:cs="Times New Roman" w:eastAsia="Times New Roman" w:hAnsi="Times New Roman"/>
                <w:sz w:val="25"/>
                <w:szCs w:val="25"/>
                <w:color w:val="auto"/>
                <w:vertAlign w:val="superscript"/>
              </w:rPr>
              <w:t>(5)</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6,383,887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11,949,998.12</w:t>
            </w:r>
          </w:p>
        </w:tc>
        <w:tc>
          <w:tcPr>
            <w:tcW w:w="0" w:type="dxa"/>
            <w:vAlign w:val="bottom"/>
          </w:tcPr>
          <w:p>
            <w:pPr>
              <w:spacing w:after="0"/>
              <w:rPr>
                <w:sz w:val="1"/>
                <w:szCs w:val="1"/>
                <w:color w:val="auto"/>
              </w:rPr>
            </w:pPr>
          </w:p>
        </w:tc>
      </w:tr>
      <w:tr>
        <w:trPr>
          <w:trHeight w:val="216"/>
        </w:trPr>
        <w:tc>
          <w:tcPr>
            <w:tcW w:w="5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jVen Capital, LLC</w:t>
            </w:r>
            <w:r>
              <w:rPr>
                <w:rFonts w:ascii="Times New Roman" w:cs="Times New Roman" w:eastAsia="Times New Roman" w:hAnsi="Times New Roman"/>
                <w:sz w:val="25"/>
                <w:szCs w:val="25"/>
                <w:color w:val="auto"/>
                <w:vertAlign w:val="superscript"/>
              </w:rPr>
              <w:t>(6)</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630,375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1,179,998.98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Bain Capital Life Sciences Opportunities III, LP</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12,351,087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23,119,999.76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000" w:hanging="424"/>
        <w:spacing w:after="0" w:line="261"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these stockholders and their equity holdings are included in this prospectus under the caption “Principal Stockholders.”</w:t>
      </w:r>
    </w:p>
    <w:p>
      <w:pPr>
        <w:ind w:left="540" w:right="2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Northpond Ventures III, LP beneficially owns more than 5% of our outstanding capital stock. Dr. Liapis is a member of our board of directors and is a principal at Northpond Ventures, LLC, an affiliate of Northpond Ventures III, LP.</w:t>
      </w:r>
    </w:p>
    <w:p>
      <w:pPr>
        <w:ind w:left="54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4,006,624 shares of Series B preferred stock issued to Westlake BioPartners Fund I, L.P. and (ii) 3,349,538 shares of Series B Preferred Stock issued to Westlake BioPartners Opportunity Fund I, L.P. Dr. Seidenberg is a member of our board of directors and is a managing director of Westlake BioPartners GP I, LLC and Westlake BioPartners Opportunity GP I, L.P., the general partner of Westlake BioPartners Fund I, L.P. and Westlake BioPartners Opportunity Fund I, L.P., respectively.</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Vida Ventures, LLC beneficially owns more than 5% of our outstanding capital stock. Dr. Cohen is a member of our board of directors and is a Senior Managing Director of Vida Ventures, LLC.</w:t>
      </w:r>
    </w:p>
    <w:p>
      <w:pPr>
        <w:ind w:left="540" w:right="28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3,553,387 shares of Series B preferred stock issued to RTW Master Fund, Ltd., (ii) 1,834,938 shares of Series B preferred stock issued to RTW Innovation Master Fund, Ltd., and (iii) 995,562 shares of Series B preferred stock issued to RTW Biotech Opportunities Ltd (formerly RTW Venture Fund Limited).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jVen Capital, LLC is an entity controlled by an immediate family member of Mr. Ryan Jones, our Chief Financial Officer.</w:t>
      </w: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5"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November 2021, in connection with the initial issuance and sale of our Series B preferred stock, we entered into an Amended and Restated Investors’ Rights Agreement, as subsequently amended, or the Rights Agreement, with, among others, the following holders of more than 5% of our outstanding capital stock: Northpond Ventures III, LP, Westlake Biopartners Fund I, L.P., Vida Ventures, LLC, Gilead Sciences, Inc., entities affiliated with RTW Master Fund, Ltd. and Bain Capital Life Sciences Opportunities III, LP.</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Rights Agreement grants certain rights to the holders of our outstanding convertible preferred stock, including certain registration rights with respect to the registrable securities held by them. See the section of this prospectus titled “Description of Capital Stock—Registration Rights” for additional information.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the Rights Agreement imposes certain affirmative obligations on us, including, among other things, our obligation to grant each investor who holds shares of our convertible preferred stock a right of first offer with respect to future sales of our equity, excluding the shares to be offered and sold in this offering, and grant certain information and inspection rights to such investors. Each of these other obligations will terminate in connection with the closing of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November 2021, in connection with the initial issuance and sale of our Series B preferred stock, we entered into an Amended and Restated Voting Agreement, as subsequently amended, or the Voting Agreement, with, among others, the following holders of more than 5% of our outstanding capital stock: Gilead Sciences, Inc., entities affiliated with RTW Master Fund, Ltd. and Bain Capital Life Sciences Opportunities III, LP. Northpond Ventures III, LP, Westlake Biopartners Fund I, L.P. and Vida Ventures, LLC, each of which currently has a director designee on our board of directors and is a holder of more than 5% of our outstanding capital stock, are also parties to the Voting Agreement.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Voting Agreement, (i) Westlake BioPartners Fund I, L.P. has the right to designate one member to be elected to our board of directors, (ii) Vida Ventures, LLC has the right to designate one member to be elected to our board of directors, (iii) Gilead Sciences, Inc. has the right to designate one member to be elected to our board of directors, and (iv) Northpond Ventures III, LP has the right to designate one member to be elected to our board of directors. See “Management—Board Composition.” The Voting Agreement will terminate by its terms in connection with the closing of this offering and none of our stockholders will have any continuing rights regarding the election or designation of members of our board of directors following this offering.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In November 2021, in connection with the initial issuance and sale of our Series B preferred stock, we entered into an Amended and Restated Right of First Refusal and Co-Sale Agreement, as subsequently amended, or the Co-Sale Agreement, with, among others, the following holders of more than 5% of our outstanding capital stock: entities affiliated with Gilead Sciences, Inc., entities affiliated with RTW Master Fund, Ltd. and Bain Capital Life Sciences Opportunities III, LP. Northpond Ventures III, LP, Westlake Biopartners Fund I, L.P. and Vida Ventures, LLC, each of which currently has a director designee on our board of directors and is a holder of more than 5% of our outstanding capital stock, are also parties to the Co-Sale Agreement.</w:t>
      </w:r>
    </w:p>
    <w:p>
      <w:pPr>
        <w:spacing w:after="0" w:line="16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Co-Sale Agreement, we have a right of first refusal in respect of certain sales of securities by certain holders of our common stock and convertible preferred stock, including holders of more than 5% of our outstanding capital stock. To the extent we do not exercise such right in full, certain holders of our capital stock are entitled to certain rights of first refusal and co-sale in respect of such sale. The Co-Sale Agreement will terminate in connection with the closing of this offering.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Rights Letters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initial issuance and sale of our Series A-2 and Series B preferred stock, we entered into management rights letters with certain purchasers of our convertible preferred stock, including holders of more than 5% of our capital stock and entities with which certain of our directors or officers are affiliated, pursuant to which such entities were granted certain management rights, including the right to consult with and advise our management on significant business issues, review our operating plans, examine our books and records and inspect our facilities. These management rights letters will terminate upon completion of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offer letters with certain of our executive officers. For more information regarding these agreements with our executive officers, see “Executive Compensation—Employment Arrangements” and “Executive Compensation—Potential Payments Upon Termination or Change in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121" w:lineRule="exact"/>
        <w:rPr>
          <w:sz w:val="20"/>
          <w:szCs w:val="20"/>
          <w:color w:val="auto"/>
        </w:rPr>
      </w:pPr>
    </w:p>
    <w:p>
      <w:pPr>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We have granted options to purchase shares of our common stock to certain of our executive officers and directors. For more information regarding the options granted to our executive officers and directors, see the sections of this prospectus titled “Executive Compensation” and “Management—Non-Employee Director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certain of our current directors and executive officers and we plan to enter into indemnification agreements with each of our directors and executive officers in connection with this offering. The indemnification agreements, to be in effect upon the closing of this offering, and our amended and restated bylaws, to be in effect immediately prior to the closing of this offering, require us to indemnify our directors and executive officers to the fullest extent permitted by Delaware law. For more information regarding these agreements, see “Executive Compensation—Limitations on Liability and Indemnification.”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 with Dr. Maag</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See “Executive Compensation—Employment Arrangements” for a discussion of the partial recourse promissory note previously issued to us by Dr. Maag as consideration for an early exercise of an option to purchase shares of our common stock. On January 12, 2024, we forgave the promissory note in full, which includes the outstanding principal amount and interest through that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Advisor Agreement with Daniel Spiegelman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 2023, we entered into an advisor agreement with Daniel Spiegelman, a member of our board of directors, pursuant to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Mr. Spiegelman agreed to provide us advice in our evaluation of strategic options in the context of corporate finance activities, including, but not limited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an initial public offering by us, in exchange for a payment of $10,000 per month. The advisor agreement provided that it would terminate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earliest to occur of April 1, 2024, immediately prior to the effectiveness of a registration statement on Form S-1 filed by us with the SEC related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public offering of our common stock and the date terminated by either party upon written notice to the other party. In accordance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foregoing, the advisor agreement terminated on the date upon which the registration statement of which this prospectus forms a part was declared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by the SEC.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up to approximately 725,000 shares of our common stock being offered hereby (approximately 5%) for directors, executive officers, employees and business associates. The directed share program will not limit the ability of our directors, officers and their family members, or holders of more than 5% of our capital stock, to purchase more than $120,000 in value of our common stock. We do not currently know the extent to which these related persons will participate in our directed share program, if at all, or the extent to which they will purchase more than $120,000 in value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this offering, we did not have a formal policy regarding approval of transactions with related parties. In connection with this offering, we have adopted a written related person transaction policy that sets forth our procedures for the identification, review, consideration and approval or ratification of related person transactions. The policy will become effective immediately upon the execution of the underwriting agreement for this offering.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officer, director (or nominee to become a director) or beneficial owner of more than 5% of any class of our voting securities, including any of their immediate family members.</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the written related person transaction policy, but all were approved by our board of directors considering similar factors to those described above.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55"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December 31, 2023, after giving effect to the Reverse Stock Split and as adjusted to reflect the sale of our common stock offered by us in this offering, for:</w:t>
      </w:r>
    </w:p>
    <w:p>
      <w:pPr>
        <w:spacing w:after="0" w:line="67"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outstanding shares common stock.</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which generally means that a person has beneficial ownership of a security if he or she possesses sole or shared voting or investment power of that security, including options that are currently exercisable or exercisable within 60 days of December 31, 2023. Unless otherwise indicated, to our knowledge, the persons and entities named in the table below have sole voting and sole investment power with respect to all shares that they beneficially own, subject to community property laws where applicable. The information in the table below does not necessarily indicate beneficial ownership for any other purpose, including for purposes of Sections 13(d) and 13(g) of the Securities Act.</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prior to this offering on 26,421,368 shares of our common stock outstanding as of December 31, 2023, after giving effect to the automatic conversion of all outstanding shares of our convertible preferred stock into an aggregate of 25,171,265 shares of our common stock immediately prior to the closing of this offering. We have based our calculation of the percentage of beneficial ownership after this offering on 40,921,368 shares of our common stock outstanding immediately after the closing of this offering, which is based on 26,421,368 shares of our common stock outstanding as of December 31, 2023 after giving effect to the conversion of our convertible preferred stock into common stock as described in the prior sentence and further reflects the issuance of shares of common stock in this offering, assuming that the underwriters will not exercise their option to purchase up to an additional 2,175,000 shares of our common stock.</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computing the number of shares beneficially owned by an individual or entity and the percentage ownership of that person, shares of our common stock subject to options, convertible securities or other rights, held by such person that are currently exercisable or will become exercisable within 60 days of December 31, 2023, are considered outstanding. We did not, however, deem such shares outstanding for the purpose of computing the percentage ownership of any other person.</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table below does not reflect any shares that may be purchased by our directors, executive officers or significant stockholders pursuant to the directed share program.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Kyverna Therapeutics, Inc., 5980 Horton St., STE 550 Emeryville, CA 94608.</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52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5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8260" w:type="dxa"/>
            <w:vAlign w:val="bottom"/>
          </w:tcPr>
          <w:p>
            <w:pPr>
              <w:spacing w:after="0"/>
              <w:rPr>
                <w:sz w:val="10"/>
                <w:szCs w:val="10"/>
                <w:color w:val="auto"/>
              </w:rPr>
            </w:pPr>
          </w:p>
        </w:tc>
        <w:tc>
          <w:tcPr>
            <w:tcW w:w="12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Owned</w:t>
            </w:r>
          </w:p>
        </w:tc>
        <w:tc>
          <w:tcPr>
            <w:tcW w:w="92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Prior to</w:t>
            </w:r>
          </w:p>
        </w:tc>
        <w:tc>
          <w:tcPr>
            <w:tcW w:w="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this</w:t>
            </w: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this</w:t>
            </w:r>
          </w:p>
        </w:tc>
        <w:tc>
          <w:tcPr>
            <w:tcW w:w="0" w:type="dxa"/>
            <w:vAlign w:val="bottom"/>
          </w:tcPr>
          <w:p>
            <w:pPr>
              <w:spacing w:after="0"/>
              <w:rPr>
                <w:sz w:val="1"/>
                <w:szCs w:val="1"/>
                <w:color w:val="auto"/>
              </w:rPr>
            </w:pPr>
          </w:p>
        </w:tc>
      </w:tr>
      <w:tr>
        <w:trPr>
          <w:trHeight w:val="173"/>
        </w:trPr>
        <w:tc>
          <w:tcPr>
            <w:tcW w:w="8260" w:type="dxa"/>
            <w:vAlign w:val="bottom"/>
            <w:vMerge w:val="continue"/>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 Offering</w:t>
            </w: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96"/>
        </w:trPr>
        <w:tc>
          <w:tcPr>
            <w:tcW w:w="8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Bain Capital Life Sciences Opportunities III, LP</w:t>
            </w:r>
            <w:r>
              <w:rPr>
                <w:rFonts w:ascii="Times New Roman" w:cs="Times New Roman" w:eastAsia="Times New Roman" w:hAnsi="Times New Roman"/>
                <w:sz w:val="25"/>
                <w:szCs w:val="25"/>
                <w:color w:val="auto"/>
                <w:vertAlign w:val="superscript"/>
              </w:rPr>
              <w:t>(1)</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2,713,868</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Gilead Sciences, Inc.</w:t>
            </w:r>
            <w:r>
              <w:rPr>
                <w:rFonts w:ascii="Times New Roman" w:cs="Times New Roman" w:eastAsia="Times New Roman" w:hAnsi="Times New Roman"/>
                <w:sz w:val="25"/>
                <w:szCs w:val="25"/>
                <w:color w:val="auto"/>
                <w:vertAlign w:val="superscript"/>
              </w:rPr>
              <w:t>(2)</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3,216,119</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Northpond Ventures III, LP</w:t>
            </w:r>
            <w:r>
              <w:rPr>
                <w:rFonts w:ascii="Times New Roman" w:cs="Times New Roman" w:eastAsia="Times New Roman" w:hAnsi="Times New Roman"/>
                <w:sz w:val="25"/>
                <w:szCs w:val="25"/>
                <w:color w:val="auto"/>
                <w:vertAlign w:val="superscript"/>
              </w:rPr>
              <w:t>(3)</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2,805,426</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RTW Investments, LP</w:t>
            </w:r>
            <w:r>
              <w:rPr>
                <w:rFonts w:ascii="Times New Roman" w:cs="Times New Roman" w:eastAsia="Times New Roman" w:hAnsi="Times New Roman"/>
                <w:sz w:val="25"/>
                <w:szCs w:val="25"/>
                <w:color w:val="auto"/>
                <w:vertAlign w:val="superscript"/>
              </w:rPr>
              <w:t>(4)</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1,402,711</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Vida Ventures, LLC</w:t>
            </w:r>
            <w:r>
              <w:rPr>
                <w:rFonts w:ascii="Times New Roman" w:cs="Times New Roman" w:eastAsia="Times New Roman" w:hAnsi="Times New Roman"/>
                <w:sz w:val="25"/>
                <w:szCs w:val="25"/>
                <w:color w:val="auto"/>
                <w:vertAlign w:val="superscript"/>
              </w:rPr>
              <w:t>(5)</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4,523,924</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Westlake BioPartners Fund I, L.P.</w:t>
            </w:r>
            <w:r>
              <w:rPr>
                <w:rFonts w:ascii="Times New Roman" w:cs="Times New Roman" w:eastAsia="Times New Roman" w:hAnsi="Times New Roman"/>
                <w:sz w:val="25"/>
                <w:szCs w:val="25"/>
                <w:color w:val="auto"/>
                <w:vertAlign w:val="superscript"/>
              </w:rPr>
              <w:t>(6)</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4,523,924</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Maag, Ph.D.</w:t>
            </w:r>
            <w:r>
              <w:rPr>
                <w:rFonts w:ascii="Times New Roman" w:cs="Times New Roman" w:eastAsia="Times New Roman" w:hAnsi="Times New Roman"/>
                <w:sz w:val="25"/>
                <w:szCs w:val="25"/>
                <w:color w:val="auto"/>
                <w:vertAlign w:val="superscript"/>
              </w:rPr>
              <w:t>(7)</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465,761</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James Chung, M.D., Ph.D.</w:t>
            </w:r>
            <w:r>
              <w:rPr>
                <w:rFonts w:ascii="Times New Roman" w:cs="Times New Roman" w:eastAsia="Times New Roman" w:hAnsi="Times New Roman"/>
                <w:sz w:val="25"/>
                <w:szCs w:val="25"/>
                <w:color w:val="auto"/>
                <w:vertAlign w:val="superscript"/>
              </w:rPr>
              <w:t>(8)</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70,037</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Karen Walker</w:t>
            </w:r>
            <w:r>
              <w:rPr>
                <w:rFonts w:ascii="Times New Roman" w:cs="Times New Roman" w:eastAsia="Times New Roman" w:hAnsi="Times New Roman"/>
                <w:sz w:val="25"/>
                <w:szCs w:val="25"/>
                <w:color w:val="auto"/>
                <w:vertAlign w:val="superscript"/>
              </w:rPr>
              <w:t>(9)</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55,755</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Ian Clark</w:t>
            </w:r>
            <w:r>
              <w:rPr>
                <w:rFonts w:ascii="Times New Roman" w:cs="Times New Roman" w:eastAsia="Times New Roman" w:hAnsi="Times New Roman"/>
                <w:sz w:val="25"/>
                <w:szCs w:val="25"/>
                <w:color w:val="auto"/>
                <w:vertAlign w:val="superscript"/>
              </w:rPr>
              <w:t>(10)</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177,834</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Fred E. Cohen, M.D., D.Phil.</w:t>
            </w:r>
            <w:r>
              <w:rPr>
                <w:rFonts w:ascii="Times New Roman" w:cs="Times New Roman" w:eastAsia="Times New Roman" w:hAnsi="Times New Roman"/>
                <w:sz w:val="25"/>
                <w:szCs w:val="25"/>
                <w:color w:val="auto"/>
                <w:vertAlign w:val="superscript"/>
              </w:rPr>
              <w:t>(11)</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4,523,924</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17.1</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8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Brian Kotzin, M.D.</w:t>
            </w:r>
            <w:r>
              <w:rPr>
                <w:rFonts w:ascii="Times New Roman" w:cs="Times New Roman" w:eastAsia="Times New Roman" w:hAnsi="Times New Roman"/>
                <w:sz w:val="25"/>
                <w:szCs w:val="25"/>
                <w:color w:val="auto"/>
                <w:vertAlign w:val="superscript"/>
              </w:rPr>
              <w:t>(12)</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43,306</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Liapis, Ph.D.</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Beth Seidenberg, M.D.</w:t>
            </w:r>
            <w:r>
              <w:rPr>
                <w:rFonts w:ascii="Times New Roman" w:cs="Times New Roman" w:eastAsia="Times New Roman" w:hAnsi="Times New Roman"/>
                <w:sz w:val="25"/>
                <w:szCs w:val="25"/>
                <w:color w:val="auto"/>
                <w:vertAlign w:val="superscript"/>
              </w:rPr>
              <w:t>(13)</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4,523,924</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Daniel K. Spiegelman</w:t>
            </w:r>
            <w:r>
              <w:rPr>
                <w:rFonts w:ascii="Times New Roman" w:cs="Times New Roman" w:eastAsia="Times New Roman" w:hAnsi="Times New Roman"/>
                <w:sz w:val="25"/>
                <w:szCs w:val="25"/>
                <w:color w:val="auto"/>
                <w:vertAlign w:val="superscript"/>
              </w:rPr>
              <w:t>(14)</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12,451</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w:t>
            </w:r>
            <w:r>
              <w:rPr>
                <w:rFonts w:ascii="Times New Roman" w:cs="Times New Roman" w:eastAsia="Times New Roman" w:hAnsi="Times New Roman"/>
                <w:sz w:val="26"/>
                <w:szCs w:val="26"/>
                <w:color w:val="auto"/>
                <w:vertAlign w:val="superscript"/>
              </w:rPr>
              <w:t>(15)</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10,376,176</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38.7</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8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2,713,868 shares of common stock underlying shares of Series B convertible preferred stock held by Bain Capital Life Sciences Opportunities III, LP. Bain Capital Life Sciences Investors, LLC (“BCLSI”) is the manager of Bain Capital Life Sciences III General Partner, LLC, which is the general partner of Bain Capital Life Sciences Fund III, L.P., which is the sole member of Bain Capital Life Sciences Opportunities III GP, LLC, which is the general partner of Bain Capital Life Sciences Opportunities III, LP. As a result, BCLSI may be deemed to share voting and dispositive power with respect to the shares held by Bain Capital Life Sciences Opportunities III, LP. Voting and investment decisions with respect to shares held by Bain Capital Life Sciences Opportunities III, L.P. are made by the partners of BCLSI, of whom there are three or more and none of whom individually has the power to direct such decisions. The address of Bain Capital Life Sciences Opportunities III, LP is c/o Bain Capital Life Sciences, LP, 200 Clarendon Street, Boston, MA 02116.</w:t>
      </w:r>
    </w:p>
    <w:p>
      <w:pPr>
        <w:spacing w:after="0" w:line="3"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3,216,119 shares of common stock underlying shares of Series A-2 convertible preferred stock and Series B convertible preferred stock held by Gilead Sciences, Inc. The principal business address of Gilead Sciences, Inc. is 333 Lakeside Drive, Foster City, CA 94404.</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2,805,426 shares of common stock underlying shares of Series B convertible preferred stock held by Northpond Ventures III, LP (“Northpond LP”). Northpond LP is managed by Northpond Ventures III GP, LLC (“Northpond LLC”) and Northpond LLC may be deemed to beneficially own the shares held by Northpond LP. Michael Rubin is the managing member of Northpond LLC, has sole voting or dispositive power over, and may also be deemed to beneficially own, the shares held by Northpond LP. The address for each of these entities is 7500 Old Georgetown Rd, Suite 850, Bethesda, MD 20814.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218,751 shares of common stock underlying shares of Series B convertible preferred stock held by RTW Biotech Opportunities Ltd,</w:t>
      </w:r>
    </w:p>
    <w:p>
      <w:pPr>
        <w:spacing w:after="0" w:line="9"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403,185 shares of common stock underlying shares of convertible Series B preferred stock held by RTW Innovation Master Fund, Ltd., and</w:t>
      </w:r>
    </w:p>
    <w:p>
      <w:pPr>
        <w:spacing w:after="0" w:line="9" w:lineRule="exact"/>
        <w:rPr>
          <w:rFonts w:ascii="Times New Roman" w:cs="Times New Roman" w:eastAsia="Times New Roman" w:hAnsi="Times New Roman"/>
          <w:sz w:val="18"/>
          <w:szCs w:val="18"/>
          <w:color w:val="auto"/>
        </w:rPr>
      </w:pPr>
    </w:p>
    <w:p>
      <w:pPr>
        <w:ind w:left="860" w:hanging="312"/>
        <w:spacing w:after="0"/>
        <w:tabs>
          <w:tab w:leader="none" w:pos="8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780,775 shares of common stock underlying shares of convertible Series B preferred stock held by RTW Master Fund, Ltd.</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(collectively, the “RTW Funds”). RTW Investments, LP (“RTW”), in its capacity as the investment manager of the RTW Funds, has the power to vote and the power to direct the disposition of the shares held by the RTW Funds. Accordingly, RTW may be deemed to be the beneficial owner of such shares held by the RTW Funds. Roderick Wong, M.D., as the Managing Partner of RTW, has the power to direct the vote and disposition of the shares held by RTW. Dr. Wong disclaims beneficial ownership of the shares held by the RTW Funds, except to the extent of his pecuniary interest therein. The address of RTW is 40 10th Avenue, Floor 7, New York, New York, 10014, and the address of Dr. Wong and each of the RTW Funds is c/o RTW Investments, LP, 40 10th Avenue, Floor 7, New York, NY 10014.</w:t>
      </w:r>
    </w:p>
    <w:p>
      <w:pPr>
        <w:spacing w:after="0" w:line="5" w:lineRule="exact"/>
        <w:rPr>
          <w:sz w:val="20"/>
          <w:szCs w:val="20"/>
          <w:color w:val="auto"/>
        </w:rPr>
      </w:pPr>
    </w:p>
    <w:p>
      <w:pPr>
        <w:ind w:left="540" w:right="4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4,523,924 shares of common stock underlying shares of Series A-1 convertible preferred stock, Series A-2 convertible preferred stock and Series B convertible preferred stock held by Vida Ventures, LLC (“Vida”). Vida Ventures Advisors, LLC is the investment advisor to Vida. Arie Belldegrun, Leonard Potter and Dr. Fred E. Cohen, a member of our board of directors, are the managing members of Vida Ventures Advisors, LLC, and may be deemed to share voting and dispositive power over the shares held by Vida. The address of Vida is 40 Broad Street, Suite 201, Boston, Massachusetts 02109.</w:t>
      </w:r>
    </w:p>
    <w:p>
      <w:pPr>
        <w:spacing w:after="0" w:line="1" w:lineRule="exact"/>
        <w:rPr>
          <w:rFonts w:ascii="Times New Roman" w:cs="Times New Roman" w:eastAsia="Times New Roman" w:hAnsi="Times New Roman"/>
          <w:sz w:val="18"/>
          <w:szCs w:val="18"/>
          <w:color w:val="auto"/>
        </w:rPr>
      </w:pPr>
    </w:p>
    <w:p>
      <w:pPr>
        <w:ind w:left="540" w:right="20" w:hanging="424"/>
        <w:spacing w:after="0" w:line="265" w:lineRule="auto"/>
        <w:tabs>
          <w:tab w:leader="none" w:pos="5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an aggregate of 3,787,940 shares of common stock underlying shares of Series A-1 convertible preferred stock, Series A-2 convertible preferred stock and Series B convertible preferred stock held by Westlake BioPartners Fund I, L.P. (“Westlake I”) and (ii) 735,984 shares of common stock underlying shares of Series B convertible preferred stock held by Westlake BioPartners Opportunity Fund I, L.P. (“Westlake Opportunity”). The general partners of Westlake I and Westlake Opportunity are Westlake BioPartners GP I, LLC (“Westlake GP I”) and Westlake BioPartners Opportunity GP I, LLC (“Westlake Opportunity GP I”). The voting and dispositive control over Westlake GP I and Westlake Opportunity GP I is shared by managing directors of Westlake GP I and Westlake Opportunity GP I, Beth Seidenberg and Sean Harper, none of whom has veto power. The address for Westlake I and Westlake Opportunity is 3075 Townsgate Rd., Suite 140, Westlake Village, CA 91361.</w:t>
      </w:r>
    </w:p>
    <w:p>
      <w:pPr>
        <w:spacing w:after="0" w:line="1" w:lineRule="exact"/>
        <w:rPr>
          <w:rFonts w:ascii="Times New Roman" w:cs="Times New Roman" w:eastAsia="Times New Roman" w:hAnsi="Times New Roman"/>
          <w:sz w:val="17"/>
          <w:szCs w:val="17"/>
          <w:color w:val="auto"/>
        </w:rPr>
      </w:pPr>
    </w:p>
    <w:p>
      <w:pPr>
        <w:ind w:left="540" w:right="2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58,220 shares of common stock held directly, (ii) 349,321 shares of common stock held by The Maag Family Irrevocable Trust, and (iii) 58,220 shares of common stock subject to options that are exercisable within 60 days of December 31, 2023.</w:t>
      </w:r>
    </w:p>
    <w:p>
      <w:pPr>
        <w:ind w:left="540" w:right="34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65,918 shares of common stock, and (ii) 4,119 shares of common stock subject to options that are exercisable within 60 days of December 31, 2023.</w:t>
      </w: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55,755 shares of common stock subject to options that are exercisable within 60 days of December 31,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177,834 shares of common stock subject to options that are exercisable within 60 days of December 31, 2023.</w:t>
      </w:r>
    </w:p>
    <w:p>
      <w:pPr>
        <w:spacing w:after="0" w:line="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listed in footnote (5) above. Dr. Cohen, a member of our board of directors, is a Senior Managing Director of Vida, and may be deemed to share voting and dispositive power over the shares held by Vida.</w:t>
      </w: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43,306 shares of common stock subject to options that are exercisable within 60 days of December 31, 2023.</w:t>
      </w:r>
    </w:p>
    <w:p>
      <w:pPr>
        <w:spacing w:after="0" w:line="9"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listed in footnote (6) above. Dr. Seidenberg, a member of our board of directors, is a managing director of Westlake GP I and, therefore, may be deemed to exercise voting and investment discretion with respect to such shares.</w:t>
      </w: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12,451 shares of common stock subject to options that are exercisable within 60 days of December 31, 2023.</w:t>
      </w:r>
    </w:p>
    <w:p>
      <w:pPr>
        <w:spacing w:after="0" w:line="9"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948,602 shares of common stock beneficially owned by our current executive officers and directors (which includes an aggregate of 475,143 beneficially owned by two additional executive officers), (ii) 379,726 shares of common stock subject to options that are exercisable within 60 days of December 31, 2023 (which includes an aggregate of 28,041 shares of common stock subject to options held by two additional executive officers), and (iii) 9,047,848 shares of common stock underlying shares of our convertible preferred stock that may be deemed to be beneficially owned by our current executive officers and directors.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as they will be in effect upon the closing of this offering. We expect to adopt an amended and restated certificate of incorporation and amended and restated bylaws, which will be effective immediately prior to the closing of this offering, and this description summarizes the provisions that will be included in such documents. Because it is only a summary, it does not contain all of the information that may be important to you. For a complete description of the matters set forth in this “Description of Capital Stock,” you should refer to our amended and restated certificate of incorporation and amended and restated bylaws, which have been included as exhibits to the registration statement of which this prospectus forms a part, and to the applicable provisions of Delaware law. Immediately following the closing of this offering, our authorized capital stock will consist of 490,000,000 shares of common stock, $0.00001 par value per share, and 10,000,000 shares of undesignated preferred stock, $0.00001 par value per share.</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2023, after giving effect to the automatic conversion of all outstanding shares of our convertible preferred stock into an aggregate of 25,171,265 shares of our common stock immediately prior to the closing of this offering, there were 26,322,525 shares of our common stock outstanding, held by 60 stockholders of record, and no shares of our convertible preferred stock outstanding. Upon consummation of this offering, our board of directors will be authorized, without stockholder approval except as required by the listing standards of Nasdaq Rules, to issue additional shares of our capital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amended and restated certificate of incorporation. Accordingly, holders of a majority of the voting shares are able to elect all of the directors. In addition, the affirmative vote of holders of 66-2/3% of the voting power of all of the then outstanding capital stock will be required to take certain actions, including amending certain provisions of our amended and restated certificate of incorporation, including the provisions relating to amending our amended and restated bylaws, the classified board and director liability. Our amended and restated certificate of incorporation establishes a classified board of directors that is divided into three classes with staggered three-year terms. Only the directors in one class will be subject to election at each annual meeting of our stockholders, with the directors in the other classes continuing for the remainder of their respective three-year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All of the outstanding shares of our common stock are, and the shares of our common stock to be issued pursuant to this offering will be,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2023, there were 114,556,997 shares of convertible preferred stock outstanding, consisting of 8,803,542 shares of Series A-1 convertible preferred stock, 24,552,546 shares of Series A-2 convertible preferred stock and 81,200,909 shares of Series B convertible preferred stock. All of our outstanding shares of convertible preferred stock will be automatically converted into an aggregate of 25,171,265 shares of our common stock immediately prior to the closing of this offering and we will not have any shares of preferred stock outstanding. Immediately prior to the closing of this offering, our amended and restated certificate of incorporation will be amended and restated to remove all references to such shares of convertible preferred stock.</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or other corporate action and might adversely affect the market price of our common stock and the voting and other rights of the holders of our common stock. We have no current plan to issue any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of September 30, 2023, we had outstanding options to purchase an aggregate of 2,338,555 shares of our common stock, with a weighted-average exercise price of $3.56 under the 2019 Plan. Following completion of this offering, 4,215,000 shares of our common stock will initially be reserved for future issuance under the 2024 Plan, which became effective on the date immediately preceding the date upon which the registration statement of which this prospectus forms a part was declared effective by the SEC, as well as any future automatic annual increases in the number of shares of our common stock reserved for issuance under the 2024 Plan and any shares underlying outstanding stock awards granted under the 2019 Plan, that expire or are repurchased, forfeited, cancelled or withheld. For additional information regarding terms of our equity incentive plans, see the section of this prospectus titled “Executive Compensation—Equity Benefit Plans.”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2021, in connection with the initial issuance and sale of our Series B preferred stock, we entered into the Rights Agreement, as subsequently amended. The Rights Agreement grants certain rights to the holders of our outstanding convertible preferred stock, including certain registration rights with respect to the registrable securities held by them. The holders of these registrable securities possess registration rights pursuant to the terms of the Rights Agreement and are described in additional detail below.</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of the completion of this offering, after giving effect to the automatic conversion of all outstanding shares of our convertible preferred stock into an aggregate of 25,171,265 shares of our common stock immediately prior to the closing of this offering, there will be an aggregate of 25,171,265 shares of our common stock that are entitled to these demand, piggyback and Form S-3 registration rights pursuant to the Rights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Agreement. We will pay the registration expenses, other than the underwriting discounts and selling commissions, of the shares registered pursuant to the demand, piggyback and Form S-3 registrations described below.</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the holders may include. The demand, piggyback and Form S-3 registration rights described below will expire no later than five years after the completion of this offering, or with respect to any particular holder, at such time that such holder can sell its shares under Rule 144 of the Securities Act without limitation during any three-month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After this offering, the holders of an aggregate of 25,171,265 shares of our common stock will be entitled to certain demand registration rights pursuant to the Rights Agreement. At any time beginning 180 days after the completion of this offering, the holders of a majority of the registrable securities then outstanding may request that we register all or a portion of their shares. Such request for registration must cover at least 40% of the registrable securities then outstanding with an anticipated aggregate offering price of at least $15.0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this offering, in the event that we propose to register any of our securities under the Securities Act, either for our own account or for the account of other security holders, certain holders of registrable securities will be entitled to certain piggyback registration rights pursuant to the Rights Agreement allowing such holders to include their shares in such registration, subject to certain marketing and other limitations. As a result, whenever we propose to file a registration statement under the Securities Act, other than with respect to: (i) a demand registration; (ii) the registration of securities relating to the sale or grant of securities to employees to a stock option, stock purchase, equity incentive or similar plan; (iii) the registration of securities relating to a SEC Rule 145 transaction; (iv) the registration of securities on any form that does not include substantially the same information as would be required on a Form S-1 or Form S-3; or (v) the registration of common stock that is being registered that is issuable upon conversion of debt securities that are also being registered, then holders of these shares are entitled to notice of the registration and have the right to include their shares in the registration, subject to limitations that the underwriters may impose on the number of shares included in the offering.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12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After this offering, the holders of an aggregate of 25,171,265 shares of our common stock will be entitled to certain Form S-3 registration rights pursuant to the Rights Agreement. Such holders of registrable securities can make a request that we register their shares on Form S-3 if we are qualified to file a registration statement on Form S-3 and such holders hold registrable securities in an anticipated aggregate offering amount of at least</w:t>
      </w:r>
    </w:p>
    <w:p>
      <w:pPr>
        <w:spacing w:after="0" w:line="1"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$5.0 million, net of applicable selling expenses. We will not be required to effect a registration on Form S-3 within 60 days of a registration initiated by us, to effect more than two registrations on Form S-3 within any 12-month period or to effect any registration that our board of directors deems in good faith to be materially detrimental to our company and our stockholders, subject to certain limitations.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Removal of Directors; Vacancies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exact number of directors will be fixed from time to time by resolution of our board of directors. Directors will be elected by a plurality of the votes of the shares of our capital stock present in person or represented by proxy at the meeting and entitled to vote on the election of directors.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director may be removed except for cause, and directors may be removed for cause only by an affirmative vote of shares representing not less than 66-2/3% of the then-outstanding shares then entitled to vote at an election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vacancy occurring on our board of directors and any newly created directorship may be filled only by a majority of the remaining directors in office.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Staggered Board</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our board of directors will be divided into three classes serving staggered three-year terms. Class I, Class II and Class III directors will serve until our annual meetings of stockholders in 2025, 2026 and 2027,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typically be necessary for stockholders to effect a change in a majority of the members of our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Action by Written Consent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holders of our common stock will not be able to act by written consent without a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Meetings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special meetings of our stockholders may be called only by the chairperson of our board of directors, our chief executive officer (or president, in the absence of a chief executive officer) or a majority of the directors. Our amended and restated certificate of incorporation and our amended and restated bylaws specifically deny any power of any other person to call a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provisions of our amended and restated certificate of incorporation under Part B of Article V, Article VI, Article VII, Article VIII, Article IX, Article X and Article XI may be amended only by the affirmative vote of holders of at least 66-2/3% of the voting power of our then-outstanding shares of capital stock. The affirmative vote of holders of at least a majority of the voting power of our outstanding shares of capital stock will generally be required to amend other provisions of our amended and restated certificate of incorporation.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our amended and restated bylaws may be amended or repealed, and new bylaws may be adopted by (i) our board of directors, with the affirmative vote of a majority of directors present at any regular or special meeting of our board of directors called for that purpose, or (ii) our stockholders, with the affirmative vote of holders of at least 66-2/3% of the voting power of our then-outstanding shares of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Limitations on Stockholder 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bylaws impose some procedural requirements on stockholders who wish to:</w:t>
      </w:r>
    </w:p>
    <w:p>
      <w:pPr>
        <w:spacing w:after="0" w:line="131"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nominations in the election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that a director be removed;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repeal or change in our amended and restated bylaws; or</w:t>
      </w:r>
    </w:p>
    <w:p>
      <w:pPr>
        <w:spacing w:after="0" w:line="130" w:lineRule="exact"/>
        <w:rPr>
          <w:rFonts w:ascii="Times New Roman" w:cs="Times New Roman" w:eastAsia="Times New Roman" w:hAnsi="Times New Roman"/>
          <w:sz w:val="18"/>
          <w:szCs w:val="18"/>
          <w:color w:val="auto"/>
        </w:rPr>
      </w:pPr>
    </w:p>
    <w:p>
      <w:pPr>
        <w:ind w:left="5500" w:right="3280" w:hanging="4844"/>
        <w:spacing w:after="0" w:line="454" w:lineRule="auto"/>
        <w:tabs>
          <w:tab w:leader="none" w:pos="109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other business to be brought before an annual or special meeting of stockholders. 211</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67"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business or nomination to be brought before the meeting and the reasons for conducting such business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and address;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the stockholder in the proposal;</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the stockholder, the date or dates such shares were acquired and the investment intent of such acquisition;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pledge by the stockholder with respect to such shares;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all persons with whom the stockholder is acting in concert, any material interest of those persons in the proposal, the number of shares beneficially owned by those persons, the date or dates such shares were acquired and the investment intent of such acquisition, any pledge by those persons with respect to such shares, and a description of all arrangements and understandings, existing presently or existing during the prior twenty-four months, between or among the stockholder and/or those persons.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be timely, a stockholder must generally deliver notice:</w:t>
      </w:r>
    </w:p>
    <w:p>
      <w:pPr>
        <w:spacing w:after="0" w:line="131" w:lineRule="exact"/>
        <w:rPr>
          <w:sz w:val="20"/>
          <w:szCs w:val="20"/>
          <w:color w:val="auto"/>
        </w:rPr>
      </w:pPr>
    </w:p>
    <w:p>
      <w:pPr>
        <w:ind w:left="1080" w:right="100" w:hanging="424"/>
        <w:spacing w:after="0" w:line="277" w:lineRule="auto"/>
        <w:tabs>
          <w:tab w:leader="none" w:pos="10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 annual meeting of stockholders, not less than 90 nor more than 120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not later than the 120th day prior to the date of the annual meeting and not later than (i) the 90th day prior to such annual meeting or; (ii) if later, the 10th day following the day on which we first publicly announce the date of the annual meeting; or</w:t>
      </w:r>
    </w:p>
    <w:p>
      <w:pPr>
        <w:spacing w:after="0" w:line="73"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election of a director at a special meeting of stockholders, during the period not less than 90 nor more than 120 days prior to the date of the special meeting, or, if later, the 10th day following the day on which public disclosure of such special meeting was first made.</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submit a nomination for our board of directors,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director will be personally liable to us or our stockholders for monetary damages for breach of fiduciary duty as a director, except as required by applicable law, as in effect from time to time. Section 102(b)(7) of the General Corporation Law of the State of Delaware, or the DGCL, permits a corporation to provide in its certificate of incorporation that a director of the corporation shall not be personally liable to the corporation or its stockholders for monetary damages for breach of fiduciary duty as a director, except for liability for:</w:t>
      </w:r>
    </w:p>
    <w:p>
      <w:pPr>
        <w:spacing w:after="0" w:line="89"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director, unlawful payments of dividends or unlawful stock repurchases or redemptions;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officer, derivative claims brought on behalf of the corporation by a stockholder; or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22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behalf of us; (ii) any action asserting a claim of breach of fiduciary duty owed to us or our stockholders by any director, officer or other employee of our company; (iii) any action asserting a claim arising pursuant to any provision of the DGCL or our amended and restated certificate of incorporation and our amended and restated bylaws; or (iv) any action asserting a claim governed by the internal affairs doctrine. This provision would not apply to claims brought to enforce a duty or liability created by the Exchange Act or any other claim for which the federal courts have exclusive jurisdiction.</w:t>
      </w:r>
    </w:p>
    <w:p>
      <w:pPr>
        <w:spacing w:after="0" w:line="187"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our shares of capital stock shall be deemed to have notice of and consented to the foregoing forum selection provisions.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amended and restated certificate of incorporation or our amended and restated bylaws to be inapplicable or unenforceable in an action, we may incur additional costs associated with resolving such action in other jurisdictions.</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our company or our directors, officers or other employees, which may discourage such lawsuits against our company and our directors, officers and other employees and result in increased costs for investors to bring a claim.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along with our amended and restated certificate of incorporation and our amended and restated bylaws, as will take effect immediately prior to the completion of this offering, may have the effect of delaying, deferring, or discouraging (i) acquiring control of our company by means of a proxy contest, tender offer or otherwise; or (ii) removing our incumbent officers and directors. These provisions, as well as our ability to issue preferred stock, are expected to discourage coercive takeover practices and inadequate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takeover bids. These provisions are also designed, in part, to encourage persons seeking to acquire control of our company to first negotiate with our board of directors. However, these provisions could have the effect of delaying, discouraging or preventing attempts to acquire us, which could deprive our stockholders of opportunities to sell their shares of our common stock at prices higher than prevailing market prices.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Law</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common stock will be Computershare Trust Company, N.A. The transfer agent and registrar’s address is 150 Royall Street, Canton, Massachusetts 02021.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“KYTX”.</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9"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Upon the completion of this offering, based on the number of shares of our capital stock outstanding as of September 30, 2023, 40,822,525 shares of our common stock will be outstanding, after giving effect to the automatic conversion of all outstanding shares of our convertible preferred stock into an aggregate of 25,171,265 shares of our common stock immediately prior to the closing of this offering, and assuming no exercise of the underwriters’ option to purchase additional shares and no exercise of outstanding options. Of these outstanding shares, all of the shares of our common stock sold in this offering will be freely tradable, except that any shares purchased in this offering by our affiliates, as that term is defined in Rule 144 under the Securities Act, would only be able to be sold in compliance with the Rule 144 limitations described below and any shares purchased by our directors, officers or existing stockholders and optionholders pursuant to our directed share program will be subject to the lock-up agreements described below.</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remaining outstanding shares of our common stock not sold in this offering will be, and shares subject to stock options will, upon issuance,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All of our officers and directors and holders of substantially all of our capital stock and securities exchangeable or exercisable for our capital stock have entered lock-up agreements with the underwriters under which they have agreed, subject to certain customary exceptions, not to sell any of our stock for 180 days following the date of this prospectus. As a result of these agreements and subject to the provisions of Rule 144 or Rule 701, shares of our common stock will be available for sale in the public market as follows:</w:t>
      </w:r>
    </w:p>
    <w:p>
      <w:pPr>
        <w:spacing w:after="0" w:line="94" w:lineRule="exact"/>
        <w:rPr>
          <w:sz w:val="20"/>
          <w:szCs w:val="20"/>
          <w:color w:val="auto"/>
        </w:rPr>
      </w:pPr>
    </w:p>
    <w:p>
      <w:pPr>
        <w:ind w:left="1080" w:right="4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of this prospectus, all 14,500,000 shares of our common stock sold in this offering, including certain shares sold under our directed share program that are not subject to a lock-up agreement as set forth under the heading “—Lock-Up Agreements,” will be immediately available for sale in the public market;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180 days after the date of this prospectus, 26,319,350 shares of our common stock will be eligible for sale in the public market from time to time thereafter, subject in some cases to the volume and other restrictions of Rule 144, as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any securities convertible into or exercisable or exchangeable for any shares of our common stock, or publicly disclose the intention to undertake any of the foregoing, or (ii) enter into any swap or other agreement that transfers, in whole or in part, any of the economic consequences of ownership of any shares of our common stock or any such other securities, whether any such transaction described in clause (i) or (ii) above is to be settled by delivery of shares of our common stock or such other securities, in cash or otherwise, and in each case without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prior written consent of J.P. Morgan Securities LLC, Morgan Stanley &amp; Co. LLC and Leerink Partners LLC for a period of 180 days after the date of this prospectus, other than the shares of our common stock to be sold in this offering, subject to certain other exceptions.</w:t>
      </w:r>
    </w:p>
    <w:p>
      <w:pPr>
        <w:spacing w:after="0" w:line="16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and substantially all of our shareholders (such persons, the “lock-up parties”) have entered into lock 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Morgan Stanley &amp; Co. LLC and Leerink Partners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subject to certain exceptions.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J.P. Morgan Securities LLC, Morgan Stanley &amp; Co. LLC and Leerink Partners LLC, in their sole discretion, may release the securities subject to any of the lock-up agreements with the underwriters described above, in whole or in part at any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are entitled to sell upon expiration of the market standoff agreements and lock-up agreements described above, within any three-month period, a number of shares that does not exceed the greater of:</w:t>
      </w:r>
    </w:p>
    <w:p>
      <w:pPr>
        <w:spacing w:after="0" w:line="81" w:lineRule="exact"/>
        <w:rPr>
          <w:sz w:val="20"/>
          <w:szCs w:val="20"/>
          <w:color w:val="auto"/>
        </w:rPr>
      </w:pPr>
    </w:p>
    <w:p>
      <w:pPr>
        <w:ind w:left="1080" w:right="66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capital stock then outstanding, which will equal 408,225 shares immediately after this offering, assuming no exercise of the underwriters’ option to purchase additional shares;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filing of a notice on Form 144 with respect to that sale.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of our common stock on behalf of our affiliates are also subject to manner of sale provisions and notice requirements and to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promptly after the closing of this offering to register shares of our common stock subject to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of this prospectus titled “Executive Compensation—Equity Benefit Plans” for a description of our equity compensation plans.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Upon the closing of this offering, pursuant to our Rights Agreement, the holders of approximately 25,171,265 shares of our common stock, or their transferees, will be entitled to certain rights with respect to the registration of the offer and sale of their shares under the Securities Act, subject to the terms of the lock-up agreements described under the section of this prospectus titled “—Lock-Up Agreements” above. Registration of these shares under the Securities Act would result in the shares becoming freely tradable without restriction under the Securities Act immediately on the effectiveness of the registration. Any sales of securities by these stockholders could have a material adverse effect on the trading price of our common stock. See the section of this prospectus titled “Description of Capital Stock—Registration Rights” for additional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to non-U.S. holders (as defined below) of the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(other than those specifically set forth below) or any tax consequences arising under any state, local or foreign tax laws, or any other U.S. federal tax laws. This discussion is based on the Code, Treasury Regulations promulgated thereunder, judicial decisions and published rulings and administrative pronouncements of the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an individual holder in light of such holder’s particular circumstances. This discussion also does not consider any specific facts or circumstances that may be relevant to non-U.S. holders subject to special rules under the U.S. federal income tax laws, including:</w:t>
      </w:r>
    </w:p>
    <w:p>
      <w:pPr>
        <w:spacing w:after="0" w:line="89"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(and investors therein);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investment funds, insurance companies, brokers, dealers or traders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governmental organizations and sovereign wealth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any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under Section 451(b) of the Code;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(whether or not for USRPHC, as defined below, purposes), more than 5% of any class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a constructive sale, or other risk reduction strategy or integrated investment.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0"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not a “U.S. person” or a partnership (including any entity or arrangement treated as a partnership) or other pass-through entity for U.S. federal income tax purposes. A U.S. person is any person that, for U.S. federal income tax purposes, is or is treated as any of the following:</w:t>
      </w:r>
    </w:p>
    <w:p>
      <w:pPr>
        <w:spacing w:after="0" w:line="81"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(including a “green card” holder)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we distribute cash or other property on our common stock, such distributions will constitute dividends for U.S. federal income tax purposes to the extent paid from our current or accumulated earnings and profits, as determined under U.S. federal income tax principles. Amounts distributed in excess of our current and accumulated earnings and profits will constitute a return of capital and will first be applied against and reduce a non-U.S. holder’s tax basis in our common stock, but not below zero. Any distribution in excess of a non-U.S. basis will be treated as gain realized on the sale or other disposition of our common stock and will be treated as described in the section titled “—Gain On Disposition of Our Common Stock” below.</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the applicable withholding agent with a valid IRS Form W-8BEN or IRS Form W-8BEN-E (or other applicable form) certifying such non-U.S. holder’s qualification for the reduced rate. This certification must be provided to the applicable withholding agent before the payment of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required by an applicable tax treaty), the non-U.S. holder will generally be exempt from U.S. federal withholding tax, provided that the non-U.S. holder furnishes a valid IRS Form W-8ECI (or applicable successor form) to the applicable withholding agent.</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U.S. federal income tax on a net (assuming a U.S. tax return is timely filed, otherwise gross)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tax on any gain realized on the sale or other disposition of our common stock, unless:</w:t>
      </w:r>
    </w:p>
    <w:p>
      <w:pPr>
        <w:spacing w:after="0" w:line="67" w:lineRule="exact"/>
        <w:rPr>
          <w:sz w:val="20"/>
          <w:szCs w:val="20"/>
          <w:color w:val="auto"/>
        </w:rPr>
      </w:pPr>
    </w:p>
    <w:p>
      <w:pPr>
        <w:ind w:left="1080" w:right="300" w:hanging="424"/>
        <w:spacing w:after="0" w:line="26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U.S. real property interests relative to the fair market value of our other trade or business assets and our foreign real property interests. We believe we are not currently and we do not anticipate becoming a USRPHC for U.S. federal income tax purposes, although there can be no assurance we will not in the future become a USRPHC.</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(assuming a U.S. tax return is timely filed, otherwise gross)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acquisition, ownership and disposition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Foreign Account Tax Compliance Act, or FATCA, as reflected in Sections 1471 through 1474 of the Code, imposes a U.S. federal withholding tax of 30% on certain payments, including dividends paid in respect of our common stock and the gross proceeds of disposition on our common stock,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including dividends paid in respect of our common stock and the gross proceeds of disposition on our common stock,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Proposed Treasury Regulations, which may be relied upon until final Treasury Regulations are finalized, currently eliminate FATCA withholding on payments of gross proceeds from sales or other dispositions of our common stock.</w:t>
      </w:r>
    </w:p>
    <w:p>
      <w:pPr>
        <w:spacing w:after="0" w:line="19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FATCA on their investment in our common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 LOCAL, NON-U.S. OR U.S. FEDERAL INCOME AND NON-INCOME TAX LAWS SUCH AS ESTATE AND GIFT TAX.</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0520"/>
          </w:cols>
          <w:pgMar w:left="320" w:top="455" w:right="10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are offering the shares of common stock described in this prospectus through a number of underwriters. J.P. Morgan Securities LLC, Morgan Stanley &amp; Co. LLC and Leerink Partners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340" w:type="dxa"/>
            <w:vAlign w:val="bottom"/>
            <w:gridSpan w:val="3"/>
            <w:vMerge w:val="continue"/>
          </w:tcPr>
          <w:p>
            <w:pPr>
              <w:spacing w:after="0"/>
              <w:rPr>
                <w:sz w:val="13"/>
                <w:szCs w:val="13"/>
                <w:color w:val="auto"/>
              </w:rPr>
            </w:pPr>
          </w:p>
        </w:tc>
        <w:tc>
          <w:tcPr>
            <w:tcW w:w="11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5,292,500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propose to offer the common shares directly to the public at the initial public offering price set forth on the cover page of this prospectus and to certain dealers at that price less a concession not in excess of $0.924 per share. After the initial offering of the shares to the public, if all of the common shares are not sold at the initial public offering price, the underwriters may change the offering price and the other selling terms. Sales of any shares made outside of the United States may be made by affiliates of the underwriters.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2,175,000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 common stock. The underwriting fee is $1.54 per share. The following table shows the per share and total underwriting discounts and commissions to be paid to the underwriters assuming both no exercise and full exercise of the underwriters’ option to purchase additional shares.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With full</w:t>
            </w:r>
          </w:p>
        </w:tc>
      </w:tr>
      <w:tr>
        <w:trPr>
          <w:trHeight w:val="148"/>
        </w:trPr>
        <w:tc>
          <w:tcPr>
            <w:tcW w:w="3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r>
      <w:tr>
        <w:trPr>
          <w:trHeight w:val="149"/>
        </w:trPr>
        <w:tc>
          <w:tcPr>
            <w:tcW w:w="3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r>
      <w:tr>
        <w:trPr>
          <w:trHeight w:val="148"/>
        </w:trPr>
        <w:tc>
          <w:tcPr>
            <w:tcW w:w="3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r>
      <w:tr>
        <w:trPr>
          <w:trHeight w:val="148"/>
        </w:trPr>
        <w:tc>
          <w:tcPr>
            <w:tcW w:w="3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r>
      <w:tr>
        <w:trPr>
          <w:trHeight w:val="173"/>
        </w:trPr>
        <w:tc>
          <w:tcPr>
            <w:tcW w:w="32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22,330,000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25,679,500</w:t>
            </w:r>
          </w:p>
        </w:tc>
      </w:tr>
    </w:tbl>
    <w:p>
      <w:pPr>
        <w:spacing w:after="0" w:line="17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$3.8 million. We have also agreed to reimburse the underwriters for certain expenses relating to the clearance of this offering with the Financial Industry Regulatory Authority, Inc., or FINRA, up to $40,000. In accordance with FINRA Rule 5110, these reimbursed expenses are deemed underwriting compensation for this offering.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any securities convertible into or exercisable or exchangeable for any shares of our common stock, or publicly disclose the intention to undertake any of the foregoing, or (ii) enter into any swap or other agreement that transfers, in whole or in part, any of the economic consequences of ownership of any shares of common stock or any such other securities, whether any such transaction described in clause (i) or (ii) above is to be settled by delivery of shares of common stock or such other securities, in cash or otherwise, and in each case without the prior written consent of J.P. Morgan Securities LLC, Morgan Stanley &amp; Co. LLC and Leerink Partners LLC for a period of 180 days after the date of this prospectus, other than the shares of our common stock to be sold in this offering.</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restricted stock units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or (iii)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19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and substantially all of our shareholders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Morgan Stanley &amp; Co. LLC and Leerink Partners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RSUs,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18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J.P. Morgan Securities LLC, Morgan Stanley &amp; Co. LLC and Leerink Partners LLC, in their sole discretion, may release the securities subject to any of the lock-up agreements with the underwriters described above, in whole or in part at any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“KYTX”.</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between us and the representatives of the underwriters. In determining the initial public offering price, we and the representatives of the underwriters considered a number of factors including:</w:t>
      </w:r>
    </w:p>
    <w:p>
      <w:pPr>
        <w:spacing w:after="0" w:line="81"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common stock of generally comparable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up to approximately 725,000 of the shares of common stock offered hereby (approximately 5%) for directors, executive officers, employees and business associates. The sales will be made by the underwriters through a directed share program. The number of shares of common stock available for sale to the general public will be reduced to the extent such persons purchase such reserved shares. Any reserved shares not so purchased will be offered by the underwriters to the general public on the same basis as the other shares offered hereby.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us or any underwriter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80"/>
          </w:cols>
          <w:pgMar w:left="320" w:top="455" w:right="4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w:t>
      </w:r>
    </w:p>
    <w:p>
      <w:pPr>
        <w:spacing w:after="0" w:line="85" w:lineRule="exact"/>
        <w:rPr>
          <w:sz w:val="20"/>
          <w:szCs w:val="20"/>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shall require the Company or any underwriter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31" w:lineRule="exact"/>
        <w:rPr>
          <w:sz w:val="20"/>
          <w:szCs w:val="20"/>
          <w:color w:val="auto"/>
        </w:rPr>
      </w:pPr>
    </w:p>
    <w:p>
      <w:pPr>
        <w:ind w:left="1080" w:right="46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Act. Accordingly, none of the shares nor any interest therein may be offered or sold,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joint book-running manager has acknowledged that this prospectus has not been registered as a prospectus with the Monetary Authority of Singapore. Accordingly, each joint book-running manager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93" w:lineRule="exact"/>
        <w:rPr>
          <w:sz w:val="20"/>
          <w:szCs w:val="20"/>
          <w:color w:val="auto"/>
        </w:rPr>
      </w:pPr>
    </w:p>
    <w:p>
      <w:pPr>
        <w:ind w:left="1080" w:hanging="532"/>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80" w:hanging="532"/>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00"/>
          </w:cols>
          <w:pgMar w:left="320" w:top="455"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within six months after that corporation or that trust has acquired the shares pursuant to an offer made under Section 275 of the SFA except:</w:t>
      </w:r>
    </w:p>
    <w:p>
      <w:pPr>
        <w:spacing w:after="0" w:line="131" w:lineRule="exact"/>
        <w:rPr>
          <w:sz w:val="20"/>
          <w:szCs w:val="20"/>
          <w:color w:val="auto"/>
        </w:rPr>
      </w:pPr>
    </w:p>
    <w:p>
      <w:pPr>
        <w:ind w:left="1080" w:hanging="532"/>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China</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Korea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Saudi Arabia</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This prospectus may not be distributed in the Kingdom of Saudi Arabia except to such persons as are permitted under the Offers of Securities Regulations as issued by the board of the Saudi Arabian Capital Market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Authority (“CMA”) pursuant to resolution number 2-11-2004 dated 4 October 2004 as amended by resolution number 1-28-2008, as amended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 (“DIFC”)</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7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Bermuda</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British Virgin Islands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South Africa</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96 (1) (a): the offer, transfer, sale, renunciation or delivery is to:</w:t>
      </w:r>
    </w:p>
    <w:p>
      <w:pPr>
        <w:spacing w:after="0" w:line="131" w:lineRule="exact"/>
        <w:rPr>
          <w:sz w:val="20"/>
          <w:szCs w:val="20"/>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authorised financial service providers under South African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recognised as such under South African law;</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(i) to (vi); or</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“advice” as defined in the South African Financial Advisory and Intermediary Services Act, 2002.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or,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40"/>
          </w:cols>
          <w:pgMar w:left="320" w:top="455" w:right="5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Paul Hastings LLP, Palo Alto, California will pass upon the validity of the shares of our common stock being offered by this 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Covington &amp; Burling LLP, New York, New York, is counsel to the underwriters in connection with this offering.</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as of December 31, 2021 and 2022 and for each of the two years in the period ended December 31, 2022 included in this Prospectus and in the Registration Statement have been so included in reliance on the report of BDO USA, P.C., an independent registered public accounting firm, appearing elsewhere herein and in the Registration Statement, given on the authority of said firm as experts in auditing and accounting. The report on the financial statements contains an explanatory paragraph regarding our ability to continue as a going concern.</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 website that contains reports, proxy statements and other information about issuers, like us, that file electronically with the SEC. The address of that website is www.sec.gov.</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at the website of the SEC referred to above. We also maintain a website at </w:t>
      </w:r>
      <w:r>
        <w:rPr>
          <w:rFonts w:ascii="Times New Roman" w:cs="Times New Roman" w:eastAsia="Times New Roman" w:hAnsi="Times New Roman"/>
          <w:sz w:val="18"/>
          <w:szCs w:val="18"/>
          <w:i w:val="1"/>
          <w:iCs w:val="1"/>
          <w:color w:val="auto"/>
        </w:rPr>
        <w:t>https://kyvernatx.com</w:t>
      </w:r>
      <w:r>
        <w:rPr>
          <w:rFonts w:ascii="Times New Roman" w:cs="Times New Roman" w:eastAsia="Times New Roman" w:hAnsi="Times New Roman"/>
          <w:sz w:val="18"/>
          <w:szCs w:val="18"/>
          <w:color w:val="auto"/>
        </w:rPr>
        <w:t>; upon closing of this offering, you may access these materials free of charge as soon as reasonably practicable after they are electronically filed with, or furnished to, the SEC. The information on or that can be accessed through our website is not a part of this prospectus and the inclusion of our website address in this prospectus is an inactive textual reference only.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80"/>
          </w:cols>
          <w:pgMar w:left="320" w:top="455"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Audited Financial Statements as of and for the Years Ended December 31, 2021 and 2022</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6"/>
        </w:trPr>
        <w:tc>
          <w:tcPr>
            <w:tcW w:w="4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00" w:type="dxa"/>
            <w:vAlign w:val="bottom"/>
            <w:gridSpan w:val="8"/>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304"/>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Balance Sheets as of December 31, 2021 and 2022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Statements of Operations and Comprehensive Loss for the years ended December 31, 2021 and 2022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94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Statements of Redeemable Convertible Preferred Stock and Stockholders’ Deficit for the years ended December 31, 2021 and 2022</w:t>
            </w:r>
          </w:p>
        </w:tc>
        <w:tc>
          <w:tcPr>
            <w:tcW w:w="106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04"/>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Statements of Cash Flows for the years ended December 31, 2021 and 2022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04"/>
        </w:trPr>
        <w:tc>
          <w:tcPr>
            <w:tcW w:w="55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50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 as of and for the Nine Months Ended September 30, 2022 and 2023</w:t>
            </w:r>
          </w:p>
        </w:tc>
        <w:tc>
          <w:tcPr>
            <w:tcW w:w="440" w:type="dxa"/>
            <w:vAlign w:val="bottom"/>
          </w:tcPr>
          <w:p>
            <w:pPr>
              <w:spacing w:after="0"/>
              <w:rPr>
                <w:sz w:val="24"/>
                <w:szCs w:val="24"/>
                <w:color w:val="auto"/>
              </w:rPr>
            </w:pPr>
          </w:p>
        </w:tc>
      </w:tr>
      <w:tr>
        <w:trPr>
          <w:trHeight w:val="418"/>
        </w:trPr>
        <w:tc>
          <w:tcPr>
            <w:tcW w:w="5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Condensed Balance Sheets as of December 31, 2022 and September 30, 2023</w:t>
            </w:r>
          </w:p>
        </w:tc>
        <w:tc>
          <w:tcPr>
            <w:tcW w:w="49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F-33</w:t>
            </w:r>
          </w:p>
        </w:tc>
      </w:tr>
      <w:tr>
        <w:trPr>
          <w:trHeight w:val="304"/>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Statements of Operations and Comprehensive Loss for the nine months ended September 30, 2022 and 2023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840" w:type="dxa"/>
            <w:vAlign w:val="bottom"/>
            <w:gridSpan w:val="5"/>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Statements of Redeemable Convertible Preferred Stock and Stockholders’ Deficit for the nine months ended September 30, 2022 and</w:t>
            </w:r>
          </w:p>
        </w:tc>
        <w:tc>
          <w:tcPr>
            <w:tcW w:w="440" w:type="dxa"/>
            <w:vAlign w:val="bottom"/>
          </w:tcPr>
          <w:p>
            <w:pPr>
              <w:spacing w:after="0"/>
              <w:rPr>
                <w:sz w:val="24"/>
                <w:szCs w:val="24"/>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6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F-35</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68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Condensed Statements of Cash Flows for the nine months ended September 30, 2022 and 2023</w:t>
            </w:r>
          </w:p>
        </w:tc>
        <w:tc>
          <w:tcPr>
            <w:tcW w:w="368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F-36</w:t>
            </w:r>
          </w:p>
        </w:tc>
      </w:tr>
      <w:tr>
        <w:trPr>
          <w:trHeight w:val="304"/>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Notes to Condensed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F-37</w:t>
            </w: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00" w:type="dxa"/>
            <w:vAlign w:val="bottom"/>
            <w:gridSpan w:val="8"/>
          </w:tcPr>
          <w:p>
            <w:pPr>
              <w:ind w:left="1160"/>
              <w:spacing w:after="0"/>
              <w:rPr>
                <w:sz w:val="20"/>
                <w:szCs w:val="20"/>
                <w:color w:val="auto"/>
              </w:rPr>
            </w:pPr>
            <w:r>
              <w:rPr>
                <w:rFonts w:ascii="Times New Roman" w:cs="Times New Roman" w:eastAsia="Times New Roman" w:hAnsi="Times New Roman"/>
                <w:sz w:val="18"/>
                <w:szCs w:val="18"/>
                <w:color w:val="auto"/>
              </w:rPr>
              <w:t>F-1</w:t>
            </w:r>
          </w:p>
        </w:tc>
        <w:tc>
          <w:tcPr>
            <w:tcW w:w="4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Kyverna Therapeutics,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Emeryville, California</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Kyverna Therapeutics, Inc. (the “Company”) as of December 31, 2021 and 2022, the related statements of operations and comprehensive loss, redeemable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2021 and 2022, and the results of its operations and its cash flows for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and negative cash flows from operations and has an accumulated deficit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October 4, 2023, except for Note 15, which is dated January 31,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83"/>
        </w:trPr>
        <w:tc>
          <w:tcPr>
            <w:tcW w:w="8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Assets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76,067</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37,735</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Available-for-sale marketable securities</w:t>
            </w:r>
          </w:p>
        </w:tc>
        <w:tc>
          <w:tcPr>
            <w:tcW w:w="180" w:type="dxa"/>
            <w:vAlign w:val="bottom"/>
          </w:tcPr>
          <w:p>
            <w:pPr>
              <w:spacing w:after="0"/>
              <w:rPr>
                <w:sz w:val="17"/>
                <w:szCs w:val="17"/>
                <w:color w:val="auto"/>
              </w:rPr>
            </w:pPr>
          </w:p>
        </w:tc>
        <w:tc>
          <w:tcPr>
            <w:tcW w:w="128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13,587</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1,020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1,929</w:t>
            </w:r>
          </w:p>
        </w:tc>
      </w:tr>
      <w:tr>
        <w:trPr>
          <w:trHeight w:val="209"/>
        </w:trPr>
        <w:tc>
          <w:tcPr>
            <w:tcW w:w="8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77,087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53,251</w:t>
            </w:r>
          </w:p>
        </w:tc>
        <w:tc>
          <w:tcPr>
            <w:tcW w:w="120" w:type="dxa"/>
            <w:vAlign w:val="bottom"/>
          </w:tcPr>
          <w:p>
            <w:pPr>
              <w:spacing w:after="0"/>
              <w:rPr>
                <w:sz w:val="18"/>
                <w:szCs w:val="18"/>
                <w:color w:val="auto"/>
              </w:rPr>
            </w:pP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552</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554</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2,581</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2,575</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5,171</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8,214</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1,652</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678</w:t>
            </w:r>
          </w:p>
        </w:tc>
      </w:tr>
      <w:tr>
        <w:trPr>
          <w:trHeight w:val="209"/>
        </w:trPr>
        <w:tc>
          <w:tcPr>
            <w:tcW w:w="8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85,488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66,924</w:t>
            </w:r>
          </w:p>
        </w:tc>
        <w:tc>
          <w:tcPr>
            <w:tcW w:w="12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redeemable convertible preferred stock and stockholders’ deficit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773</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1,451</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compensation</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1,141</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1,411</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license expense – related party</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5,000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6,250</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license expense</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1,625</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575</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565</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revenue – related party</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6,000</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short-term portion</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772</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1,672</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Finance lease liabilities, short-term portion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605</w:t>
            </w:r>
          </w:p>
        </w:tc>
      </w:tr>
      <w:tr>
        <w:trPr>
          <w:trHeight w:val="27"/>
        </w:trPr>
        <w:tc>
          <w:tcPr>
            <w:tcW w:w="8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15,928</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11,954</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Long-term accrued license expense – related party</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1,250</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Long-term deferred revenue – related party</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1,025</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net of short-term portion</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4,723</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7,209</w:t>
            </w:r>
          </w:p>
        </w:tc>
      </w:tr>
      <w:tr>
        <w:trPr>
          <w:trHeight w:val="203"/>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Finance lease liabilities, net of short-term portion</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1,078</w:t>
            </w:r>
          </w:p>
        </w:tc>
      </w:tr>
      <w:tr>
        <w:trPr>
          <w:trHeight w:val="203"/>
        </w:trPr>
        <w:tc>
          <w:tcPr>
            <w:tcW w:w="8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r>
      <w:tr>
        <w:trPr>
          <w:trHeight w:val="27"/>
        </w:trPr>
        <w:tc>
          <w:tcPr>
            <w:tcW w:w="8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23,022</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20,247</w:t>
            </w: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7)</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2"/>
        </w:trPr>
        <w:tc>
          <w:tcPr>
            <w:tcW w:w="8600" w:type="dxa"/>
            <w:vAlign w:val="bottom"/>
            <w:shd w:val="clear" w:color="auto" w:fill="CCEEFF"/>
          </w:tcPr>
          <w:p>
            <w:pPr>
              <w:ind w:left="680"/>
              <w:spacing w:after="0" w:line="182" w:lineRule="exact"/>
              <w:rPr>
                <w:sz w:val="20"/>
                <w:szCs w:val="20"/>
                <w:color w:val="auto"/>
              </w:rPr>
            </w:pPr>
            <w:r>
              <w:rPr>
                <w:rFonts w:ascii="Times New Roman" w:cs="Times New Roman" w:eastAsia="Times New Roman" w:hAnsi="Times New Roman"/>
                <w:sz w:val="17"/>
                <w:szCs w:val="17"/>
                <w:color w:val="auto"/>
              </w:rPr>
              <w:t>Redeemable convertible preferred stock, $0.00001 par value, 76,093,408 and 97,462,067 shares authorized</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as of December 31, 2021 and 2022, respectively; 76,093,406 and 82,504,003 shares issued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outstanding as of December 31, 2021 and 2022, respectively; liquidation preference of $109,273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8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$121,273 as of December 31, 2021 and 2022, respectively.</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108,720</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120,674</w:t>
            </w: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1"/>
        </w:trPr>
        <w:tc>
          <w:tcPr>
            <w:tcW w:w="8600" w:type="dxa"/>
            <w:vAlign w:val="bottom"/>
            <w:shd w:val="clear" w:color="auto" w:fill="CCEEFF"/>
          </w:tcPr>
          <w:p>
            <w:pPr>
              <w:ind w:left="680"/>
              <w:spacing w:after="0" w:line="181" w:lineRule="exact"/>
              <w:rPr>
                <w:sz w:val="20"/>
                <w:szCs w:val="20"/>
                <w:color w:val="auto"/>
              </w:rPr>
            </w:pPr>
            <w:r>
              <w:rPr>
                <w:rFonts w:ascii="Times New Roman" w:cs="Times New Roman" w:eastAsia="Times New Roman" w:hAnsi="Times New Roman"/>
                <w:sz w:val="17"/>
                <w:szCs w:val="17"/>
                <w:color w:val="auto"/>
              </w:rPr>
              <w:t>Common stock, $0.00001 par value; 95,500,000 and 117,000,000 shares authorized as of December 31,</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8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2021 and 2022, respectively; 567,007 and 1,007,537 shares issued and outstanding as of December 31,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2021 and 2022, respectively; 215,721 and 454,950 shares subject to repurchase as of December 31, 2021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8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and 2022, respectively.</w:t>
            </w: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1,706</w:t>
            </w: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(46,784)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(75,677)</w:t>
            </w:r>
          </w:p>
        </w:tc>
      </w:tr>
      <w:tr>
        <w:trPr>
          <w:trHeight w:val="27"/>
        </w:trPr>
        <w:tc>
          <w:tcPr>
            <w:tcW w:w="8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1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(46,254)</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(73,997)</w:t>
            </w:r>
          </w:p>
        </w:tc>
      </w:tr>
      <w:tr>
        <w:trPr>
          <w:trHeight w:val="209"/>
        </w:trPr>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redeemable convertible preferred stock and stockholders’ deficit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85,488</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66,924</w:t>
            </w:r>
          </w:p>
        </w:tc>
        <w:tc>
          <w:tcPr>
            <w:tcW w:w="12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28,402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30"/>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(29,384)</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 loss on available-for-sale marketable securities,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other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265,885</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455,478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120" w:type="dxa"/>
            <w:vAlign w:val="bottom"/>
          </w:tcPr>
          <w:p>
            <w:pPr>
              <w:spacing w:after="0"/>
              <w:rPr>
                <w:sz w:val="3"/>
                <w:szCs w:val="3"/>
                <w:color w:val="auto"/>
              </w:rPr>
            </w:pPr>
          </w:p>
        </w:tc>
        <w:tc>
          <w:tcPr>
            <w:tcW w:w="1860" w:type="dxa"/>
            <w:vAlign w:val="bottom"/>
            <w:gridSpan w:val="6"/>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12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1860" w:type="dxa"/>
            <w:vAlign w:val="bottom"/>
            <w:gridSpan w:val="6"/>
            <w:vMerge w:val="continue"/>
          </w:tcPr>
          <w:p>
            <w:pPr>
              <w:spacing w:after="0"/>
              <w:rPr>
                <w:sz w:val="7"/>
                <w:szCs w:val="7"/>
                <w:color w:val="auto"/>
              </w:rPr>
            </w:pPr>
          </w:p>
        </w:tc>
        <w:tc>
          <w:tcPr>
            <w:tcW w:w="180" w:type="dxa"/>
            <w:vAlign w:val="bottom"/>
            <w:tcBorders>
              <w:lef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178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180" w:type="dxa"/>
            <w:vAlign w:val="bottom"/>
            <w:tcBorders>
              <w:left w:val="single" w:sz="8" w:color="auto"/>
            </w:tcBorders>
          </w:tcPr>
          <w:p>
            <w:pPr>
              <w:spacing w:after="0"/>
              <w:rPr>
                <w:sz w:val="5"/>
                <w:szCs w:val="5"/>
                <w:color w:val="auto"/>
              </w:rPr>
            </w:pPr>
          </w:p>
        </w:tc>
        <w:tc>
          <w:tcPr>
            <w:tcW w:w="1500" w:type="dxa"/>
            <w:vAlign w:val="bottom"/>
            <w:gridSpan w:val="4"/>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3120" w:type="dxa"/>
            <w:vAlign w:val="bottom"/>
          </w:tcPr>
          <w:p>
            <w:pPr>
              <w:spacing w:after="0"/>
              <w:rPr>
                <w:sz w:val="9"/>
                <w:szCs w:val="9"/>
                <w:color w:val="auto"/>
              </w:rPr>
            </w:pPr>
          </w:p>
        </w:tc>
        <w:tc>
          <w:tcPr>
            <w:tcW w:w="1780" w:type="dxa"/>
            <w:vAlign w:val="bottom"/>
            <w:tcBorders>
              <w:bottom w:val="single" w:sz="8" w:color="auto"/>
            </w:tcBorders>
            <w:gridSpan w:val="5"/>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Borders>
              <w:left w:val="single" w:sz="8" w:color="auto"/>
            </w:tcBorders>
          </w:tcPr>
          <w:p>
            <w:pPr>
              <w:spacing w:after="0"/>
              <w:rPr>
                <w:sz w:val="9"/>
                <w:szCs w:val="9"/>
                <w:color w:val="auto"/>
              </w:rPr>
            </w:pPr>
          </w:p>
        </w:tc>
        <w:tc>
          <w:tcPr>
            <w:tcW w:w="1500" w:type="dxa"/>
            <w:vAlign w:val="bottom"/>
            <w:tcBorders>
              <w:bottom w:val="single" w:sz="8" w:color="auto"/>
            </w:tcBorders>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9"/>
                <w:szCs w:val="9"/>
                <w:color w:val="auto"/>
              </w:rPr>
            </w:pP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9"/>
                <w:szCs w:val="9"/>
                <w:color w:val="auto"/>
              </w:rPr>
            </w:pPr>
          </w:p>
        </w:tc>
        <w:tc>
          <w:tcPr>
            <w:tcW w:w="11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120" w:type="dxa"/>
            <w:vAlign w:val="bottom"/>
          </w:tcPr>
          <w:p>
            <w:pPr>
              <w:spacing w:after="0" w:line="20" w:lineRule="exact"/>
              <w:rPr>
                <w:sz w:val="1"/>
                <w:szCs w:val="1"/>
                <w:color w:val="auto"/>
              </w:rPr>
            </w:pPr>
          </w:p>
        </w:tc>
        <w:tc>
          <w:tcPr>
            <w:tcW w:w="10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left w:val="single" w:sz="8" w:color="auto"/>
            </w:tcBorders>
          </w:tcPr>
          <w:p>
            <w:pPr>
              <w:spacing w:after="0" w:line="20" w:lineRule="exact"/>
              <w:rPr>
                <w:sz w:val="1"/>
                <w:szCs w:val="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Borders>
              <w:left w:val="single" w:sz="8" w:color="auto"/>
            </w:tcBorders>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33,356,088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113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B redeemable</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for cash,</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issuance costs of $466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38,997,803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72,534</w:t>
            </w:r>
          </w:p>
        </w:tc>
        <w:tc>
          <w:tcPr>
            <w:tcW w:w="180" w:type="dxa"/>
            <w:vAlign w:val="bottom"/>
            <w:tcBorders>
              <w:left w:val="single" w:sz="8" w:color="auto"/>
            </w:tcBorders>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B redeemable</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in</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for rights under license and</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collaboration agreement—related</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3,739,515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tcBorders>
              <w:left w:val="single" w:sz="8" w:color="auto"/>
            </w:tcBorders>
            <w:shd w:val="clear" w:color="auto" w:fill="CCEEFF"/>
          </w:tcPr>
          <w:p>
            <w:pPr>
              <w:spacing w:after="0"/>
              <w:rPr>
                <w:sz w:val="20"/>
                <w:szCs w:val="20"/>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early exercised options and</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48,790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76,093,406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108,720</w:t>
            </w:r>
          </w:p>
        </w:tc>
        <w:tc>
          <w:tcPr>
            <w:tcW w:w="80" w:type="dxa"/>
            <w:vAlign w:val="bottom"/>
          </w:tcPr>
          <w:p>
            <w:pPr>
              <w:spacing w:after="0"/>
              <w:rPr>
                <w:sz w:val="20"/>
                <w:szCs w:val="20"/>
                <w:color w:val="auto"/>
              </w:rPr>
            </w:pPr>
          </w:p>
        </w:tc>
        <w:tc>
          <w:tcPr>
            <w:tcW w:w="180" w:type="dxa"/>
            <w:vAlign w:val="bottom"/>
            <w:tcBorders>
              <w:left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567,007</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530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(46,784</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B redeemable</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net of</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lef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of $45</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6,410,597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11,954</w:t>
            </w:r>
          </w:p>
        </w:tc>
        <w:tc>
          <w:tcPr>
            <w:tcW w:w="180" w:type="dxa"/>
            <w:vAlign w:val="bottom"/>
            <w:tcBorders>
              <w:left w:val="single" w:sz="8" w:color="auto"/>
            </w:tcBorders>
            <w:shd w:val="clear" w:color="auto" w:fill="CCEEFF"/>
          </w:tcPr>
          <w:p>
            <w:pPr>
              <w:spacing w:after="0"/>
              <w:rPr>
                <w:sz w:val="20"/>
                <w:szCs w:val="20"/>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early exercised options and</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91,209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shares issued upon early</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349,321</w:t>
            </w: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available-for-sale</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net</w:t>
            </w:r>
          </w:p>
        </w:tc>
        <w:tc>
          <w:tcPr>
            <w:tcW w:w="10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left w:val="single" w:sz="8" w:color="auto"/>
            </w:tcBorders>
            <w:shd w:val="clear" w:color="auto" w:fill="CCEEFF"/>
          </w:tcPr>
          <w:p>
            <w:pPr>
              <w:spacing w:after="0"/>
              <w:rPr>
                <w:sz w:val="20"/>
                <w:szCs w:val="20"/>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82,504,003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120,674</w:t>
            </w:r>
          </w:p>
        </w:tc>
        <w:tc>
          <w:tcPr>
            <w:tcW w:w="80" w:type="dxa"/>
            <w:vAlign w:val="bottom"/>
          </w:tcPr>
          <w:p>
            <w:pPr>
              <w:spacing w:after="0"/>
              <w:rPr>
                <w:sz w:val="19"/>
                <w:szCs w:val="19"/>
                <w:color w:val="auto"/>
              </w:rPr>
            </w:pPr>
          </w:p>
        </w:tc>
        <w:tc>
          <w:tcPr>
            <w:tcW w:w="180" w:type="dxa"/>
            <w:vAlign w:val="bottom"/>
            <w:tcBorders>
              <w:left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1,007,537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(75,677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(73,997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0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2021    </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7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(26,350)</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(28,893)</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operations: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redeemable convertible preferred stock in exchange for rights under license and collaboration agreement—related</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party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     7,000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Accretion of discounts on available-for-sale marketable securities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color w:val="auto"/>
                <w:w w:val="79"/>
              </w:rPr>
              <w:t> </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1,411</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(722)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203"/>
        </w:trPr>
        <w:tc>
          <w:tcPr>
            <w:tcW w:w="87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license expense – related party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(1,625)</w:t>
            </w:r>
          </w:p>
        </w:tc>
        <w:tc>
          <w:tcPr>
            <w:tcW w:w="0" w:type="dxa"/>
            <w:vAlign w:val="bottom"/>
          </w:tcPr>
          <w:p>
            <w:pPr>
              <w:spacing w:after="0"/>
              <w:rPr>
                <w:sz w:val="1"/>
                <w:szCs w:val="1"/>
                <w:color w:val="auto"/>
              </w:rPr>
            </w:pPr>
          </w:p>
        </w:tc>
      </w:tr>
      <w:tr>
        <w:trPr>
          <w:trHeight w:val="203"/>
        </w:trPr>
        <w:tc>
          <w:tcPr>
            <w:tcW w:w="87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revenue – related party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(5,657)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(7,025)</w:t>
            </w:r>
          </w:p>
        </w:tc>
        <w:tc>
          <w:tcPr>
            <w:tcW w:w="0" w:type="dxa"/>
            <w:vAlign w:val="bottom"/>
          </w:tcPr>
          <w:p>
            <w:pPr>
              <w:spacing w:after="0"/>
              <w:rPr>
                <w:sz w:val="1"/>
                <w:szCs w:val="1"/>
                <w:color w:val="auto"/>
              </w:rPr>
            </w:pPr>
          </w:p>
        </w:tc>
      </w:tr>
      <w:tr>
        <w:trPr>
          <w:trHeight w:val="203"/>
        </w:trPr>
        <w:tc>
          <w:tcPr>
            <w:tcW w:w="87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(22,155)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(36,113)</w:t>
            </w:r>
          </w:p>
        </w:tc>
        <w:tc>
          <w:tcPr>
            <w:tcW w:w="0" w:type="dxa"/>
            <w:vAlign w:val="bottom"/>
          </w:tcPr>
          <w:p>
            <w:pPr>
              <w:spacing w:after="0"/>
              <w:rPr>
                <w:sz w:val="1"/>
                <w:szCs w:val="1"/>
                <w:color w:val="auto"/>
              </w:rPr>
            </w:pPr>
          </w:p>
        </w:tc>
      </w:tr>
      <w:tr>
        <w:trPr>
          <w:trHeight w:val="207"/>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available-for-sale marketable securities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(56,495)</w:t>
            </w: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sales of available-for-sale marketable securities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maturities of available-for-sale marketable securities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(1,289)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(1,289)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(14,097)</w:t>
            </w:r>
          </w:p>
        </w:tc>
        <w:tc>
          <w:tcPr>
            <w:tcW w:w="0" w:type="dxa"/>
            <w:vAlign w:val="bottom"/>
          </w:tcPr>
          <w:p>
            <w:pPr>
              <w:spacing w:after="0"/>
              <w:rPr>
                <w:sz w:val="1"/>
                <w:szCs w:val="1"/>
                <w:color w:val="auto"/>
              </w:rPr>
            </w:pPr>
          </w:p>
        </w:tc>
      </w:tr>
      <w:tr>
        <w:trPr>
          <w:trHeight w:val="207"/>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issuance of redeemable convertible preferred stock, net of issuance costs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11,954</w:t>
            </w:r>
          </w:p>
        </w:tc>
        <w:tc>
          <w:tcPr>
            <w:tcW w:w="0" w:type="dxa"/>
            <w:vAlign w:val="bottom"/>
          </w:tcPr>
          <w:p>
            <w:pPr>
              <w:spacing w:after="0"/>
              <w:rPr>
                <w:sz w:val="1"/>
                <w:szCs w:val="1"/>
                <w:color w:val="auto"/>
              </w:rPr>
            </w:pPr>
          </w:p>
        </w:tc>
      </w:tr>
      <w:tr>
        <w:trPr>
          <w:trHeight w:val="202"/>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Principal paid on finance lease liabilities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(38,330)</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76,619</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statement of financial position</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76,067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76,619</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for non-cash investing and financing activities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80" w:type="dxa"/>
            <w:vAlign w:val="bottom"/>
          </w:tcPr>
          <w:p>
            <w:pPr>
              <w:spacing w:after="0"/>
              <w:rPr>
                <w:sz w:val="17"/>
                <w:szCs w:val="17"/>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Right-of-use assets obtained in exchange for operating and finance lease liability (see Note 7)</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for cash flow activities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Description of Business, Organization and Liquidity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Kyverna Therapeutics, Inc. (“Kyverna” or “the Company”) is a cell therapy clinical-stage biotechnology company with the mission of engineering a new class of therapies for autoimmune and inflammatory diseases. The Kyverna therapeutic platform combines advanced T-cell engineering and synthetic biology technologies to suppress and eliminate the autoreactive immune cells at the origin of autoimmune and inflammatory diseases. The Company was incorporated on June 14, 2018, was initially named BAIT Therapeutics, Inc., changed its name to Kyverna Therapeutics, Inc. on October 1, 2019, and is headquartered in Emeryville, California.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inception. As of December 31, 2022, the Company has an accumulated deficit of approximately $75.7 million. The Company had net losses of $26.4 million and $28.9 million for the years ended December 31, 2021 and 2022, respectively.</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issuances of redeemable convertible preferred stock and convertible notes and revenue from its collaboration agreement. The Company expects to continue to incur operating losses and negative cash flows from operations to support the development of its product candidates, for the expansion of its product portfolio and to continue its research and development activities, including preclinical studies and clinical trials. The Company’s activities are subject to significant risks and uncertainties, including completing requisite clinical activities to support regulatory approvals, market acceptance of the Company’s product candidates, if approved, as well as the timing and extent of spending on research and development.</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Company’s cash and cash equivalents and available-for-sale marketable securities of $51.3 million as of December 31, 2022, in addition to $60.0 million received during fiscal year 2023 in connection with the issuance of 32,052,994 shares of its Series B redeemable convertible preferred stock (“Series B Preferred Stock”) (see Note 14), are not sufficient to fund the Company’s planned operations for at least one year from the issuance date of these financial statements, which raises substantial doubt as to the Company’s ability to continue as a going concern. Additional funds are necessary to maintain current operations and to continue research and development activities. The Company’s management plans to monitor expenses and raise additional capital through a combination of public and private equity and debt financings, strategic alliances and licensing arrangements. The Company’s ability to access capital when needed is not assured and, if capital is not available to the Company when, and in the amounts, needed, the Company could be required to delay, scale back or abandon some or all of its development programs and other operations, which could materially harm the Company’s business, financial condition and results of operations.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which contemplates the realization of assets and satisfaction of liabilities in the normal course of business. The accompanying financial statements do not reflect any adjustments relating to the recoverability and reclassifications of assets and liabilities that might be necessary if the Company is unable to continue as a going concern.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(“GAAP”).</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GAAP as found in the Accounting Standards Codification (“ASC”) and Accounting Standards Updates (“ASU”) of the Financial Accounting Standards Board (“FASB”).</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3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revenue and expenses during the reporting period. On an ongoing basis, the Company evaluates its estimates and assumptions, including those related to revenue recognition under the Gilead Agreement, revenue recognition under its collaboration agreement, research and development accrued expenses, valuation of its common stock, stock-based compensation, valuation of deferred tax assets and uncertain income tax</w:t>
      </w:r>
    </w:p>
    <w:p>
      <w:pPr>
        <w:spacing w:after="0" w:line="3"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positions. Management bases its estimates on historical experience and on various other assumptions that are believed to be reasonable under the circumstances, the results of which form the basis for making judgments about the carrying values of assets and liabilities and the amount reported as revenue and expenses that are not readily apparent from other sources. Actual results may differ materially from those estimates.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developing therapies for autoimmune and inflammatory diseases. The chief executive officer, who is the chief operating decision maker, reviews financial information on an aggregate basis for purposes of allocating resources and evaluating financial performance. All of the Company’s long-lived assets are located in the United States. All of the Company’s collaboration revenue is derived from a related-party customer headquartered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readily available checking accounts and money market funds. The Company considers all highly liquid investments purchased with an original maturity of three months or less to be cash equivalents.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of each of December 31, 2021 and 2022, the Company had $0.6 million of long-term restricted cash held as security for the Company’s building lease. The entire amount is deposited with a financial institution and held in separate bank accounts.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Marketable Securities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Available-for-sale marketable securities as of December 31, 2022, consist of U.S treasury bills and notes. The Company carries available-for-sale marketable securities at fair value. Unrealized gains and losses on available-for-sale debt marketable securities are reported in accumulated other comprehensive loss, which is a separate component of stockholders’ deficit. The cost of available-for-sale debt marketable securities is adjusted for amortization of premiums and accretion of discounts to maturity. The amortization and accretion are included in interest income together with interest and dividends. The cost of securities sold is based on the specific identification method.</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conducts periodic reviews to identify and evaluate each available-for-sale marketable security that is in an unrealized loss position in order to determine whether an other-than-temporary impairment exists. An unrealized loss exists when the current fair value of an individual security is less than its amortized cost basis.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For available-for-sale debt marketable securities in an unrealized loss position, the Company performs an analysis to assess whether it intends to sell or whether it would more likely than not be required to sell the security before the expected recovery of the amortized cost basis. Where the Company intends to sell a security, or may be required to do so, the security’s decline in fair value is deemed to be other than temporary, and the full amount of the unrealized loss is recorded within earnings as an impairment loss. Unrealized losses on available-for-sale marketable securities that are determined to be temporary are recorded in accumulated other comprehensive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Cash, cash equivalents, restricted cash and available-for-sale marketable securities are financial instruments that potentially subject the Company to concentrations of credit risk. The Company’s cash and restricted cash were deposited with one financial institution, with deposit balances in excess of federally insured limits. As of December 31, 2022, the Company also had investments in money market funds and U.S. Treasury notes and bills, which can be subject to certain credit risks. The Company mitigates the risks by investing in high-grade instruments, limiting its exposure to any one issuer and monitoring the ongoing creditworthiness of the financial institutions and issuers. The Company has not experienced any material losses on its financial instruments and has full access to and control over all of its cash, cash equivalents and available-for-sale marketable securities.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of the Company’s collaboration revenue is derived from its collaboration, option and license agreement with Gilead Sciences, Inc. (the “Gilead Agreement”) (see Note 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subject to certain risks and uncertainties, including, but not limited to, changes in any of the following areas that the Company believes could have a material adverse effect on its future financial position or results of operations: the Company’s ability to advance the development of its analytics platform and timing and ability to advance its product candidates through preclinical and clinical development; costs and timelines associated with the manufacturing of clinical supplies; regulatory approval, market acceptance of, and reimbursement for, any product candidates the Company may develop; performance of third-party vendors; competition from pharmaceutical or other biotechnology companies with greater financial resources or expertise; protection of intellectual property; litigation or claims against the Company based on intellectual property or other factors; and its ability to attract and retain employees necessary to support its growth.</w:t>
      </w:r>
    </w:p>
    <w:p>
      <w:pPr>
        <w:spacing w:after="0" w:line="18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Company’s business and operations may be affected by worldwide economic conditions, which may continue to be impacted by global macroeconomic challenges, such as the effects of the ongoing geopolitical conflicts in Ukraine, tensions in U.S.-China relations, uncertainty in the markets, including disruptions in the banking industry and inflationary trends.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carrying amounts of cash equivalents, prepaid expenses and other current assets, accounts payable, accrued expenses and other liabilities approximate fair value due to their short-term maturities. Financial instruments, such as money market funds and available-for-sale marketable securities, are measured at fair value at each reporting date (see Note 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Finance Issuance Costs</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Deferred finance issuance costs, consisting of legal, accounting and other third-party fees directly relating to in-process equity financings or offerings, are capitalized. The deferred finance issuance costs will be offset against offering proceeds upon the completion of the financing or the offering. In the event the financing or the offering is terminated or delayed, deferred finance issuance costs will be expensed immediately as a charge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statements of operations and comprehensive loss. As of December 31, 2021 and 2022, the Company did not have any capitalized deferred finance issuance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Depreciation is recorded using the straight-line method over the estimated useful lives of the assets. Property and equipment consisted almost exclusively of assets with useful lives of five years. Leasehold improvements are capitalized and amortized over the shorter of the expected life or lease term. Major replacements and improvements are capitalized, while general repairs and maintenance are expensed as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determines whether an arrangement is a lease at inception. Specifically, it considers whether it controls the underlying asset and has the right to obtain substantially all of the economic benefits or outputs from the asset. If the contractual arrangement contains a lease, the Company then determines the classification of the lease, operating or finance, using the classification criteria described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Operating and finance lease right-of-use assets and liabilities are recognized at the lease commencement date based on the present value of lease payments over the lease term. Operating lease expense is recognized on a straight-line basis over the lease term. For finance leases, the right-of-use asset is amortized on a straight-line basis over the shorter of the useful life of the asset or the lease term, and interest expense on the lease liability is recorded separately using the interest method.</w:t>
      </w:r>
    </w:p>
    <w:p>
      <w:pPr>
        <w:spacing w:after="0" w:line="18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The Company has elected not to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12 months or less.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test is met, the transaction is accounted for as an asset acquisition. If the screen test is not met, further determination is required as to whether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transaction costs. Goodwill is not recognized in asset acquisitions. In an asset acquisition, the cost allocated to acquire in-process research and development with no alternative future use is charged to research and development expense at the acquisition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of the recovery of the expenditure. Amounts incurred are classified as general and administrative expenses in the statements of operations and comprehensive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Company reviews its long-lived assets, principally property and equipment, for impairment whenever events or changes in business circumstances indicate the carrying amount of an asset may not be fully recoverable. Recoverability of assets held and used is measured by comparing the carrying amount of an asset to future net cash flows expected to be generated by the asset. If the Company determines that the carrying value of long-lived assets may not be recoverable, the impairment to be recognized is measured by the amount by which the carrying amount of the assets exceeds the fair value of the assets. Fair value is determined through various valuation techniques, principally discounted cash flow models, to assess the fair values of long-lived assets. The Company did not record any impairment of long-lived assets during the years ended December 31, 2021 and 2022.</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records redeemable convertible preferred stock at fair value on the date of issuance, net of issuance costs. The redeemable convertible preferred stock is recorded separate from stockholders’ deficit because the shares contain deemed liquidation features that are not solely within the Company’s control. The holders of the preferred stock control a majority of the votes of the board of directors of the Company through direct representation. Accordingly, the preferred stock is classified as temporary equity in the Company’s balance sheets. The Company has not adjusted the carrying values of the redeemable convertible preferred stock to the liquidation preferences of such stock because it is uncertain whether or when a deemed liquidation event would occur that would obligate the Company to pay the liquidation preferences to holders of redeemable convertible preferred stock. Subsequent adjustments to the carrying values to the liquidation preferences will be made only when it becomes probable that such a deemed liquidation event will occur.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Arrangements and Contracts with Customers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January 2020, the Company entered into the Gilead Agreement (see Note 6). The Company concluded that the Gilead Agreement is in the scope of revenue recognition guidance,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ASC 606, revenue is recognized when a customer, or licensee, obtains control of promised goods or services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intellectual property license or research services). The amount of revenue recognized reflects the consideration that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revenue agreements may include (i) licenses for the Company’s technology or programs, (ii) research and development services and</w:t>
      </w:r>
    </w:p>
    <w:p>
      <w:pPr>
        <w:spacing w:after="0" w:line="27" w:lineRule="exact"/>
        <w:rPr>
          <w:sz w:val="20"/>
          <w:szCs w:val="20"/>
          <w:color w:val="auto"/>
        </w:rPr>
      </w:pPr>
    </w:p>
    <w:p>
      <w:pPr>
        <w:ind w:left="120" w:hanging="4"/>
        <w:spacing w:after="0" w:line="253" w:lineRule="auto"/>
        <w:tabs>
          <w:tab w:leader="none" w:pos="4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or obligations in connection with participation in research or steering committees. Payments to the Company under these arrangements typically include one or more of the following: nonrefundable upfront and license fees, research funding and milestone and other contingent payments to the Company for the achievement of defined collaboration objectives and certain preclinical, clinical, regulatory and sales-based events, as well as royalties on sales of any commercialized products.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assesses whether the promises in its arrangements with customers, including any options provided to a customer,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Company’s collaboration and license agreements may include contingent payments related to specified research, development and regulatory milestones and payments related to sales-based milestones and royalties.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 Sales-based milestone payments and royalties are typically payable when annual sales of a covered product reach specified levels and sales occur. When an intellectual property license is determined to be a predominant promise in the arrangement, sales-based milestone payments and royalties are recognized at the later of when the associated performance obligation has been satisfied or when the sales occur. Unlike other contingency payments, such as regulatory milestone payments, sales-based milestone payments and royalties are not included in the transaction price based on estimates at the inception of the contract, but rather, are included when the sales or usage occur.</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cases when an upfront payment contains material rights for the optional services the Company may provide in the future, the material right is treated as a separate performance obligation. The value allocated to such material right is deferred and recognized as revenue when the performance obligation is satisfied and the optional services are provided.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Funds received in advance are recorded as deferred revenue, which is a contract liability, and are recognized as the related performance obligation is satisfied. Amounts payable to the Company are recorded as accounts receivable, if invoiced or as contract assets, when the Company’s right to consideration is unconditional.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charged to expense as incurred. Research and development expenses include certain payroll and personnel expenses, license fees, laboratory supplies, consulting costs, external contract research and development expenses and allocated overhead, including rent, equipment depreciation and utilities. Advance payments for goods or services for future research and development activities are deferred as prepaid expenses and expensed as the goods are delivered or the related services are performed.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agreements with outsourced vendors, clinical manufacturing organizations (“CMOs”) and clinical research organizations (“CROs”). The Company makes estimates of accrued research and development expenses as of each balance sheet date based on facts and circumstances known at that time. The Company periodically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from the original estimates, the Company will adjust the accrual accordingly. Payments made under these arrangements in advance of the performance of the related services are recorded as prepaid expenses and other current assets until the services are rendered.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and recognizing compensation expense for all stock-based payments based on estimated grant-date fair values. For awards with service-based vesting conditions, the Company recognizes stock-based compensation expense on a straight-line basis over the requisite service or vesting period.</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option-valuation model. The Black-Scholes model requires the input of subjective assumptions, including expected volatility, expected dividend yield, expected term, risk-free rate of return and the estimated fair value of the underlying common stock on the date of grant. The Company accounts for forfeitures as they occur. The fair value of restricted stock awards granted to employees is valued as of the grant date using the estimated fair value of the Company’s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initially measured in U.S. dollars using the exchange rate on the date of the transaction. Foreign currency denominated monetary assets and liabilities are subsequently remeasured at the end of each reporting period using the exchange rate at that date, with the corresponding foreign currency transaction gain or loss recorded in the statements of operations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common stock subject to repurchase, unvested restricted stock units and stock options are considered to be potentially dilutive securities.</w:t>
      </w:r>
    </w:p>
    <w:p>
      <w:pPr>
        <w:spacing w:after="0" w:line="18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Basic and diluted net loss attributable to common stockholders per share is presented in conformity with the two-class method required for participating securities as the redeemable convertible preferred stock and common stock subject to repurchase are considered participating securities. The redeemable convertible preferred stock does not have a contractual obligation to share in the Company’s losses, and common stock subject to repurchase is considered an unvested stock-based compensation award for accounting purposes.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loss. Other comprehensive loss represents unrealized holding losses arising during the period on available-for-sale marketable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using the liability method;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if all or part of the net deferred tax assets are determined not to be realizable in the future, an adjustment to the valuation allowance would be charged to the provision of income taxes in the period when such determination is made.</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Tax benefits related to uncertain tax positions are recognized when it is more likely than not that a tax position will be sustained during an audit. Tax positions that meet the more-likely-than-not threshold are measured at the largest amount of tax benefit that is greater than 50% likely of being realized upon settlement with the taxing authority. Interest and penalties related to unrecognized tax benefits are included within the provision for income tax.</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to amend the current accounting standard, which requires the measurement of all expected losses to be based on historical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conditions and reasonable and supportable forecasts. For trade receivables, contract assets and other financial instruments, the Company will be required to use a forward-looking expected loss model that reflects probable losses rather than the incurred loss model for recognizing credit losses. The standard is effective for the Company starting January 1, 2023. The adoption of the new pronouncement did not have a material impact on the Company’s financial statements.</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which simplifies the accounting for certain financial instruments with characteristics of liabilities and equity, including convertible instruments and contracts on an entity’s own equity. Specifically, ASU 2020-06 simplifies accounting for the issuance of convertible instruments by removing major separation models required under current GAAP. In addition, the ASU removes certain settlement conditions that are required for equity contracts to qualify for the derivative scope exception and simplifies the diluted earnings per share calculation in certain areas. The standard will be effective for the Company starting January 1, 2024, with early adoption permitted. The adoption of the new pronouncement is not expected to have a material impact on the Company’s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 and Fair Value of Financial Instruments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authoritative guidance on fair value measurements establishes a three-tier fair value hierarchy for disclosure of fair value measurements, as follows:</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left="560"/>
        <w:spacing w:after="0" w:line="315"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active or other inputs that are observable or can be corroborated by observable market data for substantially the full term of the assets or liabilities.</w:t>
      </w:r>
    </w:p>
    <w:p>
      <w:pPr>
        <w:spacing w:after="0" w:line="27" w:lineRule="exact"/>
        <w:rPr>
          <w:sz w:val="20"/>
          <w:szCs w:val="20"/>
          <w:color w:val="auto"/>
        </w:rPr>
      </w:pPr>
    </w:p>
    <w:p>
      <w:pPr>
        <w:jc w:val="center"/>
        <w:ind w:left="740" w:right="140"/>
        <w:spacing w:after="0" w:line="456"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as of December 31, 2021. The carrying amounts of certain of the Company’s financial instruments, including cash equivalents, prepaid expenses, accounts payable and accrued expenses, approximate fair value due to their short-term nature.</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assets measured at fair value on a recurring basis as of December 31, 2022, was as follows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13,713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notes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2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27,300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13,713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13,587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consist of the Company’s cash equivalents and available-for-sale marketable securities. Cash equivalents consisted of money market funds, and available-for-sale marketable securities consisted of U.S. Treasury notes and bills. The Company obtains pricing information from its investment manager and generally determines the fair value of available-for-sale marketable securities using standard observable inputs, including reported trades, broker/dealer quotes and bids and/or offers. The Company recognizes transfers into and out of levels within the fair value hierarchy in the period in which the actual event or change in circumstances that caused the transfer occurs.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Available-for-Sale Marketable Securities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Company’s available-for-sale marketable securities consisted entirely of debt securities issued by the U.S. Treasury with contractual maturities on various dates through March 2023.</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unrealized gains and losses and fair value of the Company’s available-for-sale marketable securities as of December 31, 2022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52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0"/>
        </w:trPr>
        <w:tc>
          <w:tcPr>
            <w:tcW w:w="5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540" w:type="dxa"/>
            <w:vAlign w:val="bottom"/>
          </w:tcPr>
          <w:p>
            <w:pPr>
              <w:jc w:val="right"/>
              <w:ind w:right="77"/>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 Treasury notes</w:t>
            </w:r>
          </w:p>
        </w:tc>
        <w:tc>
          <w:tcPr>
            <w:tcW w:w="4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6,396</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6,378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7,217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1"/>
              </w:rPr>
              <w:t>  13,613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1"/>
              </w:rPr>
              <w:t>  13,587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2022, certain of the Company’s available-for-sale marketable securities had been in a continuous unrealized loss position, each for less than twelve months. The Company does not intend to sell these securities before recovery of their amortized cost basis at the maturity dates. During the year ended December 31, 2022, the Company did not recognize any other-than-temporary impairment loss and recorded approximately $0.6 million of interest income in the statement of operations and comprehensive loss.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56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r>
      <w:tr>
        <w:trPr>
          <w:trHeight w:val="27"/>
        </w:trPr>
        <w:tc>
          <w:tcPr>
            <w:tcW w:w="4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(1,618)</w:t>
            </w:r>
          </w:p>
        </w:tc>
      </w:tr>
      <w:tr>
        <w:trPr>
          <w:trHeight w:val="27"/>
        </w:trPr>
        <w:tc>
          <w:tcPr>
            <w:tcW w:w="4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88"/>
              </w:rPr>
              <w:t>  2,581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  2,575</w:t>
            </w: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approximately $0.5 million and $0.8 million for the years ended December 31, 2021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Significant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 (Related Party)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January 2020, the Company entered into the Collaboration, Option and License Agreement (the “Gilead Agreement”) with Gilead Sciences, Inc. (“Gilead”). Simultaneously with the entry into the Gilead Agreement, the Company entered into (i) a License Agreement (the “Kite Agreement”) with Kite Pharma, Inc. (“Kite”), an affiliate of Gilead (see below), and (ii) a stock purchase agreement, pursuant to which the Company issued to Gilead an aggregate of 6,890,744 shares of its Series A-2 Preferred Stock, of which 4,042,066 shares were issued as consideration under the Kite Agreement (see below).</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Pursuant to the Gilead Agreement, the Company and Gilead will collaborate to develop potential cell-based therapy products, which may use the SynNotch Technology and the SynNotch intellectual property related thereto, controlled by Gilead through Kite, for the treatment, diagnosis or prevention of autoimmune, inflammatory, or allogeneic stem cell transplant inflammatory diseases (excluding post-transplant infectious diseases), subject to certain exceptions. The Gilead Agreement initially involved the research and development of cell-based products for the treatment, diagnosis or prevention of two indications under two research programs and non-exclusive research licenses, specifically, Crohn’s disease, or Program A, and Ulcerative colitis, or Program B. Upon execution of the Gilead Agreement, Gilead paid the Company a one-time, non-refundable and non-creditable payment of $17.5 million.</w:t>
      </w:r>
    </w:p>
    <w:p>
      <w:pPr>
        <w:spacing w:after="0" w:line="189"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Pursuant to the Gilead Agreement, the Company also granted Gilead, on a research program-by-program basis, an exclusive option, exercisable at any time during the Option Period for such program, to obtain an exclusive license under such program’s intellectual property to develop, manufacture, and commercialize optioned products belonging to such program for a specified fee and on the terms and conditions set out in the Gilead Agreement.</w:t>
      </w:r>
    </w:p>
    <w:p>
      <w:pPr>
        <w:spacing w:after="0" w:line="2"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For purposes of the foregoing, an Option Period means, on a program-by-program basis, the period commencing on the date of execution of the Gilead Agreement and ending upon the earlier of (i) the expiration of the review period for such program, and (ii) the ten-year anniversary of the date of execution of the Gilead Agreement.</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terminated earlier, the Gilead Agreement will expire, with respect to each program, (i) upon such program becoming a terminated program, or (ii) on an optioned product-by-optioned product and country-by-country basis, upon the expiration of the royalty term with respect to such optioned product in such country with respect to such program. Gilead has the right to terminate the Gilead Agreement at will, in its sole discretion, in its entirety or on a program-by-program or optioned program-by-optioned program basis at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time upon ninety days’ prior written notice to us. In addition, either party may terminate the Gilead Agreement for uncured material breach by the other party, or upon the occurrence of insolvency-related events of the other party.</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royalty term under the Gilead Agreement continues on an optioned product-by-optioned product and country-by-country basis until the latest of: (i) the date on which there is no valid claim of a program patent; (ii) the expiration of any regulatory exclusivity with respect to such optioned product in the relevant country; and (iii) the ten-year anniversary of the date of the first commercial sale of such optioned product in such country.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concluded that the Gilead Agreement is in the scope of ASC Topic 606. The Company estimated the transaction price as</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$17.5 million, which was allocated to two performance obligations, Program A and Program B, based on the relative fair value of each program. Other milestone payments were constrained and not included in the transaction price as they were considered not probable as of December 31, 2021 and 2022. Deferred revenue as of December 31, 2020 was $12.7 million, of which $5.7 million was recognized as collaboration revenue during the year ended December 31, 2021. Deferred revenue as of December 31, 2021 was $7.0 million, which was fully recognized as collaboration revenue during the year ended December 31, 2022.</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November 30, 2022, after the completion of research activities under Program A and Program B, Gilead provided the Company with notice that Program A and Program B were terminated. There are currently no other active programs under the Gilead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Kite License Agreement (Related Party)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Gilead Agreement, the Company entered into the Kite Agreement. Pursuant to the Kite Agreement, Kite granted to the Company a ten-year, co-exclusive license for the SynNotch technology primarily used in the Company’s own internal research and development programs for the treatment, diagnosis or prevention of autoimmune, inflammatory or allogeneic stem cell transplant inflammatory diseases (excluding post-transplant infectious diseases). Upon expiration of the ten-year co-exclusive license term, the license will become a non-exclusive license through expiration of the related patents.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Kite had licensed certain of the SynNotch technology included in the Kite Agreement pursuant to that certain Amended and Restated Exclusive License Agreement, between The Regents of the University of California and Kite (as successor to Cell Design Labs, Inc.), or the UCSF License Agreement. The Company is responsible for all costs and payments arising under the UCSF License Agreement and as a result of activities under the Kite Agreement, including earned royalties based on a low single-digit percentage of net sales, milestone payments in an aggregate amount of up to $10.8 million and accrued interest payables. Pursuant to the Kite Agreement, the Company is also obligated to pay mid-teen- and mid-single-digit percentages of annual maintenance fees, minimum annual royalties and patent prosecution costs payable under the UCSF License Agreement during the co-exclusive term and non-exclusive term, respectively. The Company was also obligated to pay a $6.3 million sublicensing fee under the UCSF License Agreement, which the Company agreed to offset with future milestone payments payable by Gilead under the Gilead Agreement.</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terminated earlier, the Kite Agreement will expire upon the expiration of all licensed patents and Kite improvement patents therein. The Company has the right to terminate the Kite Agreement at will, in the Company’s sole discretion, in its entirety upon 90 days’ written notice to Kite. In addition, either party may terminate the Kite Agreement for uncured material breach by the other party, or upon the occurrence of insolvency-related events of the other party.</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a consideration for the license, the Company issued to Gilead an aggregate of 4,042,066 shares of Series A-2 Preferred Stock at a price per share of $0.8776, which was the purchase price paid by other investors in the Series A-2 Preferred Stock financing, for a total of $3.5 million.</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acquisition of the co-exclusive license under the Kite Agreement, including patent rights and know-how, was accounted for as an asset acquisition. As the acquired technology did not have an alternative use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80"/>
          </w:cols>
          <w:pgMar w:left="320" w:top="455" w:right="4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for accounting purposes, the consideration of $3.5 million was recorded as a research and development expense in the statements of operations and comprehensive loss for the year ended December 31, 2020. The sublicensing fee payable of $6.3 million was recognized as research and development expenses in the statement of operations and comprehensive loss for the year ended December 31, 2020. As of December 31, 2021, the Company recognized $5.0 million as current accrued license expense—related party, based on the estimated timing of when the amount of the sublicensing fee is due, including the amount due upon consummation of a qualified financing, which was the Series B Preferred Stock financing that closed in November and December 2021, and the amount related to the estimated timing of when the joint steering committee nominates the first program clinical product under a program, which corresponds with the first milestone under the Gilead Agreement. The remaining balance of $1.3 million was recognized as non-current accrued license expense—related party. As of December 31, 2022, the Company recognized the total sublicensing fee of $6.3 million as current accrued license expense—related party, of which $2.5 million became payable as a result of the qualified financing. The Company expects to pay such amount of $2.5 million by mid-2024. The remaining $3.8 million was available to be offset against future milestones payable by Gilead under the Gilead Agreement; however, due to the termination of the Gilead Agreement, there are no future milestones payable to offset the sublicensing fee, and the payment schedule for the remaining $3.8 million of the sublicensing fee has not been agreed to by the Company and Gilead. The annual maintenance fee, patent prosecution costs and minimal annual royalties are expensed as incurred and were minimal for each of the years ended December 31, 2021 and 2022.</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Intellia License and Collaboration Agreement (Related Party)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License and Collaboration Agreement (the “Intellia Agreement”) with Intellia Therapeutics, Inc. (“Intellia”) to research and develop an allogeneic CD19-directed CAR cell therapy product (the “CRISPR Product”), suitable for validation through pre-clinical and clinical proof-of-concept clinical trials, including the performance of activities as agreed in the collaboration plan. Pursuant to the Intellia Agreement, Intellia granted to the Company an exclusive, worldwide, sublicensable in multiple tiers, royalty bearing license under certain of Intellia’s intellectual property to research, develop, sell and otherwise exploit the CRISPR Product. The Company is performing the majority of the work under the collaboration plan.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consideration for the licenses granted to the Company pursuant to the Intellia Agreement, the Company issued to Intellia 3,739,515 shares of its Series B Preferred Stock at a price of $1.8719 per share, which was the price paid by other investors in the Company’s Series B Preferred Stock financing, for consideration of $7.0 million. Intellia also purchased 1,602,649 shares of Series B Preferred Stock at a price of $1.8719 per share under the Series B Preferred Stock Purchase Agreement in cash for total proceeds to the Company of $3.0 million. The Company is also obligated to make aggregate milestone payments to Intellia of up to $64.5 million upon the achievement of specified development and regulatory milestones and is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spacing w:after="0" w:line="188"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Under the Intellia Agreement, Intellia owns rights, title and interests in and to any intellectual property developed in the course of performance under the Intellia Agreement that is not specifically directed to the CRISPR Product. The Company granted to Intellia certain non-exclusive, royalty-free, fully paid-up, worldwide licenses under the Company’s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the Company granted Intellia an exclusive option (the “Intellia Option”) to enter into a co-development and co-commercialization agreement with the Company for the CRISPR Product, (the “Co-Co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Agreement”) for a fee payable to the Company. If Intellia exercises the Intellia Option, the Company and Intellia would share equally the regulatory and clinical development expenses associated with obtaining approval of the CRISPR Product in the U.S. and would also share equally all net profits and losses from commercialization of the CRISPR Product in the U.S. If Intellia exercises the Intellia Option, no milestone payments will be due and payable from that time forward and the Company will only pay royalties on sales outside of the U.S. In addition, upon exercise of the Intellia Option, following regulatory approval of the CRISPR Product, Intellia will have exclusive commercialization rights for the CRISPR Product for U.S. administration, subject to the Company’s rights to co-promote the CRISPR Product in the U.S., and the Company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the Company participates in legal action or proceeding challenging the validity or enforceability of Intellia’s patents, or by the execution of the Co-Co Agreement. The Company may terminate the Intellia Agreement in its entirety, or on a country-by-country basis, by providing a written notice after the expiration or termination of the Intellia Option. Following the expiration of the term for a given country, the licenses granted to the Company in such country will automatically become fully paid-up, perpetual, irrevocable and royalty-free licenses.</w:t>
      </w:r>
    </w:p>
    <w:p>
      <w:pPr>
        <w:spacing w:after="0" w:line="18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acquisition of the exclusive license, including patent rights and know-how, was accounted for as an asset acquisition. As the acquired technology did not have an alternative use for accounting purposes, the consideration of $7.2 million, including $0.2 million in transaction costs, was recorded as research and development expense in the statements of operations and comprehensive loss for the year ended December 31, 2021. No milestone payments were probable or payable as of December 31, 2021 and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Agreements with the National Institutes of Health</w:t>
      </w:r>
    </w:p>
    <w:p>
      <w:pPr>
        <w:spacing w:after="0" w:line="121" w:lineRule="exact"/>
        <w:rPr>
          <w:sz w:val="20"/>
          <w:szCs w:val="20"/>
          <w:color w:val="auto"/>
        </w:rPr>
      </w:pPr>
    </w:p>
    <w:p>
      <w:pPr>
        <w:ind w:left="120" w:right="600" w:firstLine="440"/>
        <w:spacing w:after="0" w:line="281" w:lineRule="auto"/>
        <w:rPr>
          <w:sz w:val="20"/>
          <w:szCs w:val="20"/>
          <w:color w:val="auto"/>
        </w:rPr>
      </w:pPr>
      <w:r>
        <w:rPr>
          <w:rFonts w:ascii="Times New Roman" w:cs="Times New Roman" w:eastAsia="Times New Roman" w:hAnsi="Times New Roman"/>
          <w:sz w:val="17"/>
          <w:szCs w:val="17"/>
          <w:color w:val="auto"/>
        </w:rPr>
        <w:t>In May 2021, the Company entered into two patent license agreements (the “NIH Agreements”) with the National Institutes of Health (the “NIH”), pursuant to which the Company obtained exclusive, worldwide licenses to certain patents to use an anti-CD19 CAR in the Company’s autologous and allogeneic CAR T-cell products for the treatment of patients with autoimmune disease. Upfront consideration of $3.3 million for acquired licenses, was paid 50% in July 2021 and the remaining 50% in May 2022 in accordance with the terms of the NIH Agreements.</w:t>
      </w:r>
    </w:p>
    <w:p>
      <w:pPr>
        <w:spacing w:after="0" w:line="16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NIH Agreements, commencing in January 2023 and subsequently on January 1 of each calendar year thereafter, the Company is also required to make minimum annual royalty payments of $0.2 million, which shall be credited against any earned royalties due based on a low single-digit percentage of net sales made in a respective year. In addition, benchmark royalties following completion of certain regulatory-and clinical-related benchmarks are due to the NIH, with the minimum cumulative royalty due for a product reaching FDA approval or foreign-equivalent approval totaling approximately $5.7 million for the autologous patent license agreement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and approximately $1.7 million for the allogeneic patent license agreement. Additional benchmark royalties would be payable for a subsequent indication under each NIH Agreement. If the Company enters into a sublicensing agreement, it will be required to pay the NIH a sublicense royalty payment as a percentage of the fair market value of any consideration received for each sublicense granted. The sublicensing percentage starts at a high teens to low twenties percentage if clinical trials for the product have not yet begun and decreases to a mid-single-digit percentage if the product has received FDA approval or foreign-equivalent approval.</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Unless terminated sooner, the NIH Agreements remain in effect until the last licensed patent right granted pursuant to the respective agreement expires.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acquisition of the licenses, including patent rights and know-how, was accounted for as an asset acquisition. As the acquired technology did not have an alternative use for accounting purposes, the consideration of $3.3 million was recorded as research and development expense in the statements of operations and comprehensive loss for the year ended December 31, 2021. No benchmark royalties were probable or payable as of December 31, 2021 and 2022.</w:t>
      </w:r>
    </w:p>
    <w:p>
      <w:pPr>
        <w:spacing w:after="0" w:line="284" w:lineRule="exact"/>
        <w:rPr>
          <w:sz w:val="20"/>
          <w:szCs w:val="20"/>
          <w:color w:val="auto"/>
        </w:rPr>
      </w:pPr>
    </w:p>
    <w:p>
      <w:pPr>
        <w:ind w:left="120" w:right="7800" w:hanging="4"/>
        <w:spacing w:after="0" w:line="378" w:lineRule="auto"/>
        <w:tabs>
          <w:tab w:leader="none" w:pos="300" w:val="left"/>
        </w:tabs>
        <w:numPr>
          <w:ilvl w:val="0"/>
          <w:numId w:val="1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Contingent Liabilities License Agreements</w:t>
      </w: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entered into license agreements with the NIH, Intellia and Kite in fiscal years 2020 and 2021 (see Note 6), pursuant to which the Company is required to pay certain milestone payments contingent upon the achievement of specific development and regulatory events. No such milestones were achieved or probable as of December 31, 2021 and 2022. The Company is required to pay royalties on sales of products developed under these agreements. The Company’s product candidates were in clinical trials or the pre-clinical stage of development as of December 31, 2021 and 2022, and no such royalties were due.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is required to determine both probability and the estimated amount. Management is not aware of any legal matters that could have a material adverse effect on the Company’s financial position, results of operations or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2021 and 2022, the Company does not have any material indemnification claims that were probable or reasonably possible.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July 2020, the Company entered into a five-year operating lease agreement for a 17,628 square feet facility in Emeryville, California, which lease term commenced in October 2020. In November 2021, the agreement was amended to extend the lease term for an additional 15 months through January 2027. The amended agreement also provides for an additional 15,736 square feet of space (the “Expansion Space”) and includes an option to extend the lease for an additional 36 months. The Company obtained 9,512 square feet of the Expansion Space in January 2022 and the remaining 6,224 square feet in September 2022. The November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2021 lease term extension was accounted for as a lease modification with the right-of-use asset and lease liability being remeasured at the modification date. The two extension space modifications were accounted for as separate leases. The Company does not believe that the option to extend the lease is reasonably certain of being exercised, and therefore did not include it in the computations of the present value of the remaining lease payments at lease commencement. In addition to the base rent, which includes escalating payments over the lease term, the Company pays variable costs related to operating expenses and taxes, which are recognized as incurred.</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Company has multiple leases for laboratory equipment with terms of 36 months that are accounted for as finance leases. Some of the Company’s office and lab space were leased under short-term lease agreements during the years ended December 31, 2021 and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Components of the lease expense for the years ended December 31, 2021 and 2022, were as follows (in thousands):</w:t>
      </w:r>
    </w:p>
    <w:p>
      <w:pPr>
        <w:spacing w:after="0" w:line="246"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7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r>
      <w:tr>
        <w:trPr>
          <w:trHeight w:val="27"/>
        </w:trPr>
        <w:tc>
          <w:tcPr>
            <w:tcW w:w="4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  1,950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  3,359</w:t>
            </w:r>
          </w:p>
        </w:tc>
      </w:tr>
      <w:tr>
        <w:trPr>
          <w:trHeight w:val="20"/>
        </w:trPr>
        <w:tc>
          <w:tcPr>
            <w:tcW w:w="4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for the years ended December 31, 2021 and 2022 (in thousands):</w:t>
      </w:r>
    </w:p>
    <w:p>
      <w:pPr>
        <w:spacing w:after="0" w:line="246"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 from operating leases</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977</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  1,736</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 from finance leases</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r>
      <w:tr>
        <w:trPr>
          <w:trHeight w:val="198"/>
        </w:trPr>
        <w:tc>
          <w:tcPr>
            <w:tcW w:w="6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lease obligations upon lease inception</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w:t>
            </w: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4,454</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1,872</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recognized upon remeasurement of lease liability (non-cash)</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1,186</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365"/>
        </w:trPr>
        <w:tc>
          <w:tcPr>
            <w:tcW w:w="658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F-21</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schedule by year of future payments of the Company’s lease liabilities as of December 31, 2022 (in thousands):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2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2"/>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2,492</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2,603</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2,805</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10,510</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1,905</w:t>
            </w:r>
          </w:p>
        </w:tc>
        <w:tc>
          <w:tcPr>
            <w:tcW w:w="100" w:type="dxa"/>
            <w:vAlign w:val="bottom"/>
          </w:tcPr>
          <w:p>
            <w:pPr>
              <w:spacing w:after="0"/>
              <w:rPr>
                <w:sz w:val="19"/>
                <w:szCs w:val="19"/>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(1,629)</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9"/>
                <w:szCs w:val="19"/>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(1,672)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weighted-average remaining lease term and discount rate related to the Company’s operating lease liabilities as of December 31, 2022, were 4.1 years and 8%, respectively. The weighted-average remaining lease term and discount rate related to the Company’s finance lease liabilities as of December 31, 2022, were 2.6 years and 10%, respectively. The discount rates were based on the Company’s estimate of its incremental borrowing rate, as the discount rates implicit in the leases could not be readily determined. As the Company does not have any outstanding debt, the Company estimated the incremental borrowing rate based on its estimated credit rating and available market information. </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and 2022, the Company’s certificate of incorporation authorized the Company to issue up to 76,093,408 and 97,462,067 shares of redeemable convertible preferred stock, par value of $0.00001 per share, respectively.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and December 2021, the Company issued an aggregate of 38,997,803 shares of its Series B Preferred Stock at a price of $1.8719 per share for aggregate gross cash proceeds of $73.0 million. The Company also issued 3,739,515 shares of its Series B Preferred Stock with a total value of $7.0 million in exchange for a consideration for licenses and rights under the Intellia Agreement (see Note 6). The Company incurred issuance costs of $0.5 million, which were recorded as a reduction to the proceeds received.</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January 12, 2022, the Company amended its Series B Preferred Stock Purchase Agreement and issued an additional 6,410,597 shares of Series B Preferred Stock to new investors for an aggregate cash consideration of $12.0 million at a purchase price of $1.8719 per share. Issuance costs were less than $0.1 million, which were recorded as a reduction to the proceeds received.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Redeemable convertible preferred stock as of December 31, 2021 and 2022, consisted of the following (in thousands, except shares and per share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data):</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5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5"/>
                <w:szCs w:val="15"/>
                <w:color w:val="auto"/>
              </w:rPr>
            </w:pPr>
          </w:p>
        </w:tc>
        <w:tc>
          <w:tcPr>
            <w:tcW w:w="102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100" w:type="dxa"/>
            <w:vAlign w:val="bottom"/>
          </w:tcPr>
          <w:p>
            <w:pPr>
              <w:spacing w:after="0"/>
              <w:rPr>
                <w:sz w:val="15"/>
                <w:szCs w:val="15"/>
                <w:color w:val="auto"/>
              </w:rPr>
            </w:pPr>
          </w:p>
        </w:tc>
        <w:tc>
          <w:tcPr>
            <w:tcW w:w="80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Pr>
          <w:p>
            <w:pPr>
              <w:spacing w:after="0"/>
              <w:rPr>
                <w:sz w:val="15"/>
                <w:szCs w:val="15"/>
                <w:color w:val="auto"/>
              </w:rPr>
            </w:pPr>
          </w:p>
        </w:tc>
      </w:tr>
      <w:tr>
        <w:trPr>
          <w:trHeight w:val="203"/>
        </w:trPr>
        <w:tc>
          <w:tcPr>
            <w:tcW w:w="576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Issued and</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576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15"/>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stock</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8,803,542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8,803,542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Series A-2 redeemable convertible preferred stock</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24,552,546</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24,552,546</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21,547</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21,490</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42,737,320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42,737,318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79,534</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76,093,408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76,093,406</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109,273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108,720</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7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0"/>
        </w:trPr>
        <w:tc>
          <w:tcPr>
            <w:tcW w:w="5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5"/>
                <w:szCs w:val="15"/>
                <w:color w:val="auto"/>
              </w:rPr>
            </w:pPr>
          </w:p>
        </w:tc>
        <w:tc>
          <w:tcPr>
            <w:tcW w:w="102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100" w:type="dxa"/>
            <w:vAlign w:val="bottom"/>
          </w:tcPr>
          <w:p>
            <w:pPr>
              <w:spacing w:after="0"/>
              <w:rPr>
                <w:sz w:val="15"/>
                <w:szCs w:val="15"/>
                <w:color w:val="auto"/>
              </w:rPr>
            </w:pPr>
          </w:p>
        </w:tc>
        <w:tc>
          <w:tcPr>
            <w:tcW w:w="80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Pr>
          <w:p>
            <w:pPr>
              <w:spacing w:after="0"/>
              <w:rPr>
                <w:sz w:val="15"/>
                <w:szCs w:val="15"/>
                <w:color w:val="auto"/>
              </w:rPr>
            </w:pPr>
          </w:p>
        </w:tc>
      </w:tr>
      <w:tr>
        <w:trPr>
          <w:trHeight w:val="203"/>
        </w:trPr>
        <w:tc>
          <w:tcPr>
            <w:tcW w:w="576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Issued and</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576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15"/>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stock</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8,803,542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8,803,542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Series A-2 redeemable convertible preferred stock</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24,552,546</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24,552,546</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21,547</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21,490</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64,105,979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49,147,915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91,488</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97,462,067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82,504,003</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120,674</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holders of the Company’s Series A-1 redeemable convertible preferred stock (“Series A-1 Preferred Stock”), Series A-2 redeemable</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convertible preferred stock (“Series A-2 Preferred Stock”) and Series B Preferred Stock have various rights and preferences, including the following:</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whether voluntary or involuntary, or any other deemed liquidation event, before any distribution or payment made to the holders of any common stock of the Company (the “Common Stock”), Series A-1 Preferred Stock or A-2 Preferred Stock, the holders of Series B Preferred Stock are entitled to be paid out of the proceeds or assets of the Company an amount equal to the greater of (i) the original issue price of $1.8719 per share, plus any declared and unpaid dividends on each such share, or (ii) such amount per share as would have been payable had all shares of Series B Preferred Stock been converted into Common Stock prior to such liquidation. If, upon any such liquidation event, the assets of the Company are insufficient to make payment of the liquidation preference in full to all holders of Series B Preferred Stock, such assets will be distributed among the holders of Series B Preferred Stock ratably in proportion to the full preferential amount that each such holder is entitled to receive.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payment of the full liquidation preference of the holders of Series B Preferred Stock, the holders of Series A-1 Preferred Stock and A-2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Preferred Stock are entitled to be paid out of the proceeds or assets of the Company an amount equal to the greater of (i) the original issue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$0.8776 per share, plus any declared and unpaid dividends on each such share, or (ii) such amount per share as would have been payable had all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of Series A-1 Preferred Stock and A-2 Preferred Stock been converted into Common Stock prior to such liquidation. If, upon any such liquidation event,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payment of the full liquidation preference of Series B Preferred Stock, the assets of the Company are insufficient to make payment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liquidation preference in full to all holders of Series A-1 Preferred Stock and A-2 Preferred Stock, such assets will be distributed among the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Series A-1 Preferred Stock and A-2 Preferred Stock ratably in proportion to the full amount that each such holder is entitled to receive.</w:t>
      </w:r>
    </w:p>
    <w:p>
      <w:pPr>
        <w:spacing w:after="0" w:line="20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After the payment of the full liquidation preference of the redeemable convertible preferred stock, the remaining assets of the Company legally available for distribution, if any, will be distributed ratably to the holders of Common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Shares of redeemable convertible preferred stock are convertible into Common Stock at the option of the holder at a conversion ratio that equals to the original issue price for such series, adjusted for any anti-dilution adjustments, divided by the conversion price for such series, in effect on the date of the conversion. The conversion price as adjusted for the reverse stock split is $3.9941 per share for both the Series A-1 Preferred Stock and the Series A-2 Preferred Stock and $8.5193 per share for the Series B Preferred Stock.</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share of redeemable convertible preferred stock is automatically convertible into shares of Common Stock at the then-effective conversion ratio immediately upon (i) the vote or written consent of the holders of at least 60% of the outstanding shares of redeemable convertible preferred stock, or (ii) the closing of a firm-commitment underwritten public offering with gross proceeds to the Company of at least $50.0 million and a public offering price which is at least $10.65 per share, adjusted for any anti-dilution adjustments.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holders of Series A-1 Preferred Stock, Series A-2 Preferred Stock and Series B Preferred Stock are entitled to receive cash dividends at a rate of 8% per annum when and if declared by the board of directors of the Company (the “Board of Directors”). These dividends shall be non-cumulative and be paid prior and in preference to the holders of Common Stock.</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After payment of dividends to the holders of redeemable convertible preferred stock, any additional dividends shall be distributed among all holders of Common Stock and redeemable convertible preferred stock ratably (on an as-if-converted to Common Stock basis). No dividends have been declared or paid to date.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holder of redeemable convertible preferred stock is entitled to the number of votes equal to the number of shares of Common Stock into which such shares of Preferred Stock held by such holder could then be converted. The holders of redeemable convertible preferred stock vote together with the holders of Common Stock as a single class and on an as-converted to Common Stock basis.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as long as at least 4,000,000 shares of the Series A-1 Preferred Stock remain outstanding, the holders of the Series A-1 Preferred Stock, voting as a separate class, are entitled to elect two members of the Board of Directors. For as long as at least 4,000,000 shares of the Series A-2 Preferred Stock remain outstanding, the holders of the Series A-2 Preferred Stock, voting as a separate class, are entitled to elect one member of the Board of Directors. For as long as at least 10,000,000 shares of the Series B Preferred Stock remain outstanding, the holders of the Series B Preferred Stock, voting as a separate class, are entitled to elect one member of the Board of Directors. The remaining members of the Board of Directors are elected by the holders of redeemable convertible preferred stock and Common Stock, voting together as a single class on an as-converted basis.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redeemable convertible preferred stock is recorded in mezzanine equity because while it is not mandatorily redeemable, it will become redeemable at the option of the holders of the redeemable convertible preferred stock upon the occurrence of certain deemed liquidation events that are considered not solely within the Company’s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was authorized to issue 117,000,000 shares of Common Stock at a par value of $0.00001 per share. There were 1,007,537 shares of Common Stock legally issued and outstanding at December 31, 2022, with 454,950 shares subject to repurchase due to remaining vesting requirements.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dividends as declared by the Board of Directors, subject to the rights of holders of all classes of stock outstanding having priority rights as to dividends. The holder of each share of common stock is entitled to one vote.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and 2022, Common Stock reserved for future issuance was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8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as converted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16,719,775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18,128,357</w:t>
            </w:r>
          </w:p>
        </w:tc>
        <w:tc>
          <w:tcPr>
            <w:tcW w:w="60" w:type="dxa"/>
            <w:vAlign w:val="bottom"/>
            <w:shd w:val="clear" w:color="auto" w:fill="CCEEFF"/>
          </w:tcPr>
          <w:p>
            <w:pPr>
              <w:spacing w:after="0"/>
              <w:rPr>
                <w:sz w:val="18"/>
                <w:szCs w:val="18"/>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Outstanding stock option awards (349,321 shares issued in connection with</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early exercised options for a non-recourse promissory note are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excluded from shares reserved for issuance)</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1,131,041</w:t>
            </w:r>
          </w:p>
        </w:tc>
        <w:tc>
          <w:tcPr>
            <w:tcW w:w="3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2,338,346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options grants</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1,537,120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22,394</w:t>
            </w:r>
          </w:p>
        </w:tc>
      </w:tr>
      <w:tr>
        <w:trPr>
          <w:trHeight w:val="223"/>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19,387,936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20,489,097</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Issued to a Founder</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September 2018, the Company issued 120,849 shares of Common Stock to a founder of the Company at a purchase price of $0.02 per share. The price was based on an estimate of the fair value of the Common Stock on the grant date. Shares vest monthly over a four-year period starting in May 2019. The Company has the right to repurchase unvested shares at the purchase price if the founder’s services to the Company are terminated. There were 30,212 shares vested during the year ended December 31, 2021, and 12,588 shares unvested as of December 31, 2021. All shares were vested during the year ended December 31, 2022, and there are no unvested shares as of December 31,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Options for a Promissory Note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December 2022, the Company’s chief executive officer (the “CEO”), a related party, early exercised options for 349,321 shares of Common Stock in exchange for a partial recourse promissory note receivable with the principal amount of $1.1 million. The note bears interest of 4.27% per annum and is due in December 2027. For accounting purposes, the promissory note was determined to be non-recourse and, as such, the issuance of the promissory note and subsequent early exercise of stock options are considered non-substantive and will not be recorded in the financial statements until the promissory note is repaid. The issuance of the promissory note modified the terms of the related stock options. The modification did not result in additional compensation expense and the Company continues to recognize stock-based compensation expense for these exercised stock options based on their original grant-date fair value. While the issued shares are not considered outstanding for accounting purposes they are legally issued and have voting and dividends rights. The shares are included in common stock on the statement of redeemable convertible preferred stock and stockholders’ deficit as of December 31, 2022, and are not included in the calculation of net loss per share attributable to common stockholders for the year ended December 31, 2022.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 Option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2019, the Company adopted the 2019 Stock Plan (the “2019 Plan”), which provides for stock awards to employees, directors and consultants of the Company. Awards issuable under the 2019 Plan include incentive stock options (“ISO”), non-statutory stock options (“NSO”), restricted stock units, stock grants and stock purchase awards. As of December 31, 2022, only ISOs and NSOs had been granted under the 2019 Plan. As of December 31, 2022, 3,247,480 shares of Common Stock have been authorized for issuance and 22,394 shares are available for future grant under the 2019 Plan.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Options to purchase Common Stock may be granted at a price not less than the fair market value as established by the Board of Directors in the case of both NSOs and ISOs. Stock option grants under the 2019 Plan generally vest over four years. All options expire no later than ten years from the date of grant. The exercise price of ISOs granted to an employee who owns more than 10% of the voting power of all classes of stock of the Company shall be no less than 110% of the estimated fair market value of the underlying Common Stock on the grant date, and the contractual term is no longer than five years.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option activity under the 2019 Plan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Term (in</w:t>
            </w:r>
          </w:p>
        </w:tc>
        <w:tc>
          <w:tcPr>
            <w:tcW w:w="30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1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416,491</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9.06</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granted</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781,800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3.56</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exercised</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(48,790)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0.61</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(18,460)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0.66</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1,131,041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2.62</w:t>
            </w: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9.14</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granted</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1,877,038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3.46</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exercised *</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(91,209)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1.91</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(229,203)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1.41</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2,687,667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3.33</w:t>
            </w: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9.34</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2022 **</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9.46</w:t>
            </w:r>
          </w:p>
        </w:tc>
        <w:tc>
          <w:tcPr>
            <w:tcW w:w="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2,121,289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2,687,667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3.33</w:t>
            </w:r>
          </w:p>
        </w:tc>
        <w:tc>
          <w:tcPr>
            <w:tcW w:w="1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9.34</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200" w:hanging="424"/>
        <w:spacing w:after="0" w:line="261"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349,321 shares of Common Stock issued in connection with the early exercised options for a non-recourse promissory note, which are not considered substantive for accounting purposes (see Note 9)</w:t>
      </w:r>
    </w:p>
    <w:p>
      <w:pPr>
        <w:ind w:left="540" w:right="340" w:hanging="424"/>
        <w:spacing w:after="0" w:line="260" w:lineRule="auto"/>
        <w:tabs>
          <w:tab w:leader="none" w:pos="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1,782,915 shares underlying unvested stock options for which a holder has the right to early exercise such option as of December 31, 2022</w:t>
      </w:r>
    </w:p>
    <w:p>
      <w:pPr>
        <w:spacing w:after="0" w:line="18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fair value of the underlying Common Stock and the exercise price. The weighted-average grant date fair value of options granted for the years ended December 31, 2021 and 2022, was $2.69 and $2.73, respectively. As of December 31, 2022, total unrecognized stock-based compensation expense was $6.0 million, which is expected to be recognized over a weighted-average period of 3.4 years. The intrinsic value of options exercised during 2021 and 2022 was $0.2 million and $0.1 million, respectively, and is calculated based on the difference between the exercise price and the fair value of Common Stock as of the exercise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Options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employees received stock options that allow for exercise of the stock option prior to vesting. The shares of Common Stock issued upon an early exercise that have not yet vested are subject to repurchase by the Company in the event of termination of the holder’s continuous status as a service provider, at the price paid by the holder.</w:t>
      </w:r>
    </w:p>
    <w:p>
      <w:pPr>
        <w:spacing w:after="0" w:line="68"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Proceeds from the early exercise of stock options are recorded as repurchase liability, and as shares vest, they are recognized as additional paid-in capital in the balance sheets. Shares purchased by employees pursuant to the early exercise of stock options are not deemed, for accounting purposes, to be issued until those shares vest according to their respective vesting schedules, and the Company recognizes stock-based compensation expense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related to these options as they continue to vest. As of each of December 31, 2021 and 2022, there was $0.1 million repurchase liability related to the unvested shares. As of December 31, 2021 and 2022, 203,133 and 105,629 common stock shares, respectively, remained subject to the right of repurchase as a result of the early exercise of stock options and are included in common shares outstanding. Early exercises as of December 31, 2022 exclude 349,321 shares of Common Stock issued in connection with the early exercised options for a non-recourse promissory note, which are not considered substantive for accounting purposes.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Black-Scholes option pricing model, used to estimate fair value of stock-based awards, requires the use of the following assumptions:</w:t>
      </w:r>
    </w:p>
    <w:p>
      <w:pPr>
        <w:spacing w:after="0" w:line="129" w:lineRule="exact"/>
        <w:rPr>
          <w:sz w:val="20"/>
          <w:szCs w:val="20"/>
          <w:color w:val="auto"/>
        </w:rPr>
      </w:pPr>
    </w:p>
    <w:p>
      <w:pPr>
        <w:ind w:left="1080" w:right="20" w:hanging="424"/>
        <w:spacing w:after="0" w:line="261"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market value of Common Stock is determined by the Board of Directors with assistance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management and external valuation experts. The approach to estimating the fair market value of Common Stock is consistent with the methods outlined in the American Institute of Certified Public Accountants’ Accounting and Valuation Guide, </w:t>
      </w:r>
      <w:r>
        <w:rPr>
          <w:rFonts w:ascii="Times New Roman" w:cs="Times New Roman" w:eastAsia="Times New Roman" w:hAnsi="Times New Roman"/>
          <w:sz w:val="18"/>
          <w:szCs w:val="18"/>
          <w:i w:val="1"/>
          <w:iCs w:val="1"/>
          <w:color w:val="auto"/>
        </w:rPr>
        <w:t xml:space="preserve">Valuation of Privately-Held-Company Equity Securities Issued as Compensation </w:t>
      </w:r>
      <w:r>
        <w:rPr>
          <w:rFonts w:ascii="Times New Roman" w:cs="Times New Roman" w:eastAsia="Times New Roman" w:hAnsi="Times New Roman"/>
          <w:sz w:val="18"/>
          <w:szCs w:val="18"/>
          <w:color w:val="auto"/>
        </w:rPr>
        <w:t>(the “Practice Aid”).</w:t>
      </w:r>
    </w:p>
    <w:p>
      <w:pPr>
        <w:spacing w:after="0" w:line="73" w:lineRule="exact"/>
        <w:rPr>
          <w:rFonts w:ascii="Times New Roman" w:cs="Times New Roman" w:eastAsia="Times New Roman" w:hAnsi="Times New Roman"/>
          <w:sz w:val="18"/>
          <w:szCs w:val="18"/>
          <w:color w:val="auto"/>
        </w:rPr>
      </w:pPr>
    </w:p>
    <w:p>
      <w:pPr>
        <w:ind w:left="1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Practice Aid, the Company determined the hybrid method was the most appropriate method for determining the fair value of the Common Stock based on the Company’s stage of development and other relevant factors. The hybrid method is a probability-weighted expected return method (“PWERM”), where the equity value in one or more scenarios is calculated using an option pricing model (“OPM”). The Company determined this was the most appropriate method for determining the fair value of the Common Stock based on the Company’s stage of development and other relevant factors. The PWERM is a scenario-based analysis that estimates the value per share of the Common Stock based on the probability-weighted present value of expected future equity values for the Common Stock, under various possible future liquidity event scenarios, considering the rights and preferences of each class of shares, and discounted for a lack of marketability. Under the hybrid method, an OPM was utilized to determine the fair value of the Common Stock in certain of the PWERM scenarios (capturing situations where the Company’s development path and future liquidity events were difficult to forecast), and potential exit events were explicitly modeled in the other PWERM scenarios. A discount for lack of marketability was applied to the value derived under each scenario to account for a lack of access to an active public market to estimate the Common Stock fair value.</w:t>
      </w:r>
    </w:p>
    <w:p>
      <w:pPr>
        <w:spacing w:after="0" w:line="93"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options granted represents the period of time that the options are expected to be outstanding.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lack of historical exercise history, the expected term of the Company’s employee stock options has been determined by calculating the midpoint of the contractual term of the options and the weighted-average vesting period. Grants to nonemployees are based on the contractual term.</w:t>
      </w:r>
    </w:p>
    <w:p>
      <w:pPr>
        <w:spacing w:after="0" w:line="85" w:lineRule="exact"/>
        <w:rPr>
          <w:rFonts w:ascii="Times New Roman" w:cs="Times New Roman" w:eastAsia="Times New Roman" w:hAnsi="Times New Roman"/>
          <w:sz w:val="18"/>
          <w:szCs w:val="18"/>
          <w:color w:val="auto"/>
        </w:rPr>
      </w:pPr>
    </w:p>
    <w:p>
      <w:pPr>
        <w:ind w:left="1080" w:right="80" w:hanging="424"/>
        <w:spacing w:after="0" w:line="267"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assumption was determined by examining the historical volatilities for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peers, as the Company did not have any trading history for the Common Stock. The Company will continue to analyze the historical stock price volatility and expected term assumption as more historical data for the Common Stock becomes available.</w:t>
      </w:r>
    </w:p>
    <w:p>
      <w:pPr>
        <w:spacing w:after="0" w:line="78"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assumption is based on the U.S. Treasury instrument whose term was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Company’s stock options.</w:t>
      </w:r>
    </w:p>
    <w:p>
      <w:pPr>
        <w:spacing w:after="0" w:line="63"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has not paid any cash dividends on Common Stock since inception and does not anticipate paying any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foreseeable future. Consequently, an expected dividend yield of zero was used.</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to employees and nonemployees was estimated at the grant date using the following assumptions for the years ended December 31, 2021 and 2022, respectively:</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5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Employees</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- 94%</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- 97%</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term (in years)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- 6.1</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Nonemployees</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- 92%</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3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term (in years)</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shd w:val="clear" w:color="auto" w:fill="CCEEFF"/>
          </w:tcPr>
          <w:p>
            <w:pPr>
              <w:spacing w:after="0"/>
              <w:rPr>
                <w:sz w:val="18"/>
                <w:szCs w:val="18"/>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- 1.7%</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1100" w:right="200" w:firstLine="40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expense related to stock options granted to employees and nonemployees (in thousands):</w:t>
      </w:r>
    </w:p>
    <w:p>
      <w:pPr>
        <w:spacing w:after="0" w:line="18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2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r>
      <w:tr>
        <w:trPr>
          <w:trHeight w:val="27"/>
        </w:trPr>
        <w:tc>
          <w:tcPr>
            <w:tcW w:w="5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83"/>
              </w:rPr>
              <w:t>  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3"/>
              </w:rPr>
              <w:t>  929</w:t>
            </w:r>
          </w:p>
        </w:tc>
      </w:tr>
      <w:tr>
        <w:trPr>
          <w:trHeight w:val="20"/>
        </w:trPr>
        <w:tc>
          <w:tcPr>
            <w:tcW w:w="5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Defined Contribution plan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(the “401(k) Plan”), which stipulates that eligible employees can elect to contribute to the 401(k) Plan, subject to certain limitations of eligible compensation. The Company may match employee contributions in amounts to be determined at the Company’s sole discretion. The Company made no matching contributions during the years ended December 31, 2021 and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Common Stockholders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(28,893)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265,885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455,478</w:t>
            </w: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(99.10)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(63.43)</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F-28</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5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8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as converted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16,719,775</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18,128,357</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1,131,041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2,338,346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203,133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454,950</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18,066,537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20,921,653</w:t>
            </w:r>
          </w:p>
        </w:tc>
      </w:tr>
      <w:tr>
        <w:trPr>
          <w:trHeight w:val="20"/>
        </w:trPr>
        <w:tc>
          <w:tcPr>
            <w:tcW w:w="5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has recorded no income tax expense for the years ended December 31, 2021 and 2022. All the Company’s taxable losses were generated in the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was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38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5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2021 </w:t>
            </w:r>
          </w:p>
        </w:tc>
        <w:tc>
          <w:tcPr>
            <w:tcW w:w="9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76"/>
              </w:rPr>
              <w:t>   2022 </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computed at federal statutory rate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21.00%</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4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7.5%</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4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0.0%</w:t>
            </w:r>
          </w:p>
        </w:tc>
        <w:tc>
          <w:tcPr>
            <w:tcW w:w="9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14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uncertain tax positions</w:t>
            </w:r>
          </w:p>
        </w:tc>
        <w:tc>
          <w:tcPr>
            <w:tcW w:w="148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8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9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80" w:type="dxa"/>
            <w:vAlign w:val="bottom"/>
            <w:gridSpan w:val="2"/>
          </w:tcPr>
          <w:p>
            <w:pPr>
              <w:ind w:left="4020"/>
              <w:spacing w:after="0"/>
              <w:rPr>
                <w:sz w:val="20"/>
                <w:szCs w:val="20"/>
                <w:color w:val="auto"/>
              </w:rPr>
            </w:pPr>
            <w:r>
              <w:rPr>
                <w:rFonts w:ascii="Times New Roman" w:cs="Times New Roman" w:eastAsia="Times New Roman" w:hAnsi="Times New Roman"/>
                <w:sz w:val="18"/>
                <w:szCs w:val="18"/>
                <w:color w:val="auto"/>
              </w:rPr>
              <w:t>F-29</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for federal and state income taxes are as follows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0"/>
              </w:rPr>
              <w:t>2021 </w:t>
            </w:r>
          </w:p>
        </w:tc>
        <w:tc>
          <w:tcPr>
            <w:tcW w:w="3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0"/>
              </w:rPr>
              <w:t>2022 </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4,696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Reserves and accruals</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credits</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license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 and upfront fees</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3,395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6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(12,847)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(18,832)</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right-of-use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30"/>
        </w:trPr>
        <w:tc>
          <w:tcPr>
            <w:tcW w:w="6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valuation allowance is required to be established when it is more likely than not that all or a portion of a deferred tax asset will not be realized. Realization of deferred tax assets is dependent upon future earnings, the timing and amount of which are uncertain. The Company has reviewed its positive and negative evidence and has concluded that it is more likely than not that the net deferred tax assets will not be realized; therefore, the Company continues to maintain a valuation allowance. The valuation allowance increased by $7.0 million and $6.0 million during the years ended December 31, 2021 and 2022, respectively, due primarily to the generation of net operating losses.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net operating loss carryforwards for federal and state income tax purposes of $28.2 million and $49.3 million, respectively, as of December 31, 2022. The federal net operating loss carryforwards are not subject to expiration but are limited to 80% of the taxable income in the year the carryforward is used. State net operating loss carryforwards, if not utilized, will expire beginning in 2036.</w:t>
      </w:r>
    </w:p>
    <w:p>
      <w:pPr>
        <w:spacing w:after="0" w:line="176"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has federal and state research and development credit carryforwards of $0.4 million and $0.4 million, respectively. The federal credits will expire beginning in 2041 and the state credits can be carried forward indefinitely.</w:t>
      </w: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Utilization of some of the federal and state net operating loss and credit carryforwards may be subject to annual limitations due to the “change in ownership” provisions of the Internal Revenue Code of 1986, as amended, and similar state provisions. The annual limitation may result in the expiration of net operating losses and credits before utilization. The Company has not performed a 382 study; however, the Company has completed several fundraises in recent years, increasing the likelihood there have been changes in ownership that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would limit the Company’s ability to utilize tax attribute carryforwards. The Company intends to complete a 382 study in the future, which could result in material reductions to deferred tax assets and related valuation allowance disclosed above.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contains a provision that requires the capitalization of Section 174 costs incurred in years beginning on or after January 1, 2022. Section 174 costs are expenditures that represent research and development costs that are incidental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over five years for domestic research and development and fifteen years for foreign research and development.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the unrecognized tax benefits during the year ended December 31, 2022, is as follows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740" w:type="dxa"/>
            <w:vAlign w:val="bottom"/>
            <w:gridSpan w:val="4"/>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5740" w:type="dxa"/>
            <w:vAlign w:val="bottom"/>
          </w:tcPr>
          <w:p>
            <w:pPr>
              <w:spacing w:after="0"/>
              <w:rPr>
                <w:sz w:val="12"/>
                <w:szCs w:val="12"/>
                <w:color w:val="auto"/>
              </w:rPr>
            </w:pPr>
          </w:p>
        </w:tc>
        <w:tc>
          <w:tcPr>
            <w:tcW w:w="17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9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tax positions in prior periods</w:t>
            </w: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tax positions in the current period</w:t>
            </w:r>
          </w:p>
        </w:tc>
        <w:tc>
          <w:tcPr>
            <w:tcW w:w="2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2,750</w:t>
            </w: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732</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3,600</w:t>
            </w:r>
          </w:p>
        </w:tc>
        <w:tc>
          <w:tcPr>
            <w:tcW w:w="4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entire amount of the unrecognized tax benefits would not impact the Company’s effective tax rate if recognized, due to the valuation allowance. The Company has elected to include interest and penalties as a component of tax expense. During the years ended December 31, 2021 and 2022, the Company did not recognize accrued interest and penalties related to unrecognized tax benefits.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files tax returns in the U.S., California and other various states. The Company is not currently under examination in any of these jurisdictions and all its tax years remain effectively open to examination due to net operating loss carryforwards.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for financial statement purposes occurring through October 4, 2023, the date when these financial statements are available to be issued (except for the impact of the reverse stock split discussed in Note 15, as to which the date is January 31, 2024). No subsequent events have been identified for disclosure to or adjustment in the financial statements, other than the matters noted below.</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B Financing</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June and July 2023, the Company amended its existing Series B Preferred Stock Purchase Agreement and issued 32,052,994 shares of Series B Preferred Stock for total cash proceeds of $60.0 million.</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Series B Preferred Stock financing, the Company increased its authorized Common Stock to 133,492,016 shares and Series B Preferred Stock to 81,200,909 shares, and increased the aggregate number of shares authorized for issuance as equity awards under the 2019 Plan to 4,039,686 shares of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Reverse Stock Split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24, 2024, the Board of Directors approved, and on January 30, 2024, the Company effected, a reverse stock split of the shares of the Company’s outstanding Common Stock at a ratio of 1-for-4.5511 (the “Reverse Stock Split”). The number of authorized shares and par value per share were not adjusted as a result of the Reverse Stock Split. All references to shares, options to purchase Common Stock, share data, per share data, and related information contained in the financial statements have been retrospectively adjusted to reflect the effect of the Reverse Stock Split for all periods presented.</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will automatically convert into shares of Common Stock upon the closing of the Company’s initial public offering of Common Stock, were proportionally adjusted. As a result of the Reverse Stock Split, the conversion price for both the Series A-1 Preferred Stock and the Series A-2 Preferred Stock is now equal to $3.9941 and for the Series B Preferred Stock is now equal to $8.5193. Stockholders entitled to fractional shares as a result of the Reverse Stock Split will receive a cash payment in lieu of receiving fractional shares.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80"/>
          </w:cols>
          <w:pgMar w:left="320" w:top="455"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83"/>
        </w:trPr>
        <w:tc>
          <w:tcPr>
            <w:tcW w:w="8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Assets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37,735</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22,967</w:t>
            </w:r>
          </w:p>
        </w:tc>
        <w:tc>
          <w:tcPr>
            <w:tcW w:w="100" w:type="dxa"/>
            <w:vAlign w:val="bottom"/>
            <w:shd w:val="clear" w:color="auto" w:fill="CCEEFF"/>
          </w:tcPr>
          <w:p>
            <w:pPr>
              <w:spacing w:after="0"/>
              <w:rPr>
                <w:sz w:val="17"/>
                <w:szCs w:val="17"/>
                <w:color w:val="auto"/>
              </w:rPr>
            </w:pPr>
          </w:p>
        </w:tc>
      </w:tr>
      <w:tr>
        <w:trPr>
          <w:trHeight w:val="203"/>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Available-for-sale marketable securities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54,307</w:t>
            </w:r>
          </w:p>
        </w:tc>
        <w:tc>
          <w:tcPr>
            <w:tcW w:w="100" w:type="dxa"/>
            <w:vAlign w:val="bottom"/>
          </w:tcPr>
          <w:p>
            <w:pPr>
              <w:spacing w:after="0"/>
              <w:rPr>
                <w:sz w:val="17"/>
                <w:szCs w:val="17"/>
                <w:color w:val="auto"/>
              </w:rPr>
            </w:pPr>
          </w:p>
        </w:tc>
      </w:tr>
      <w:tr>
        <w:trPr>
          <w:trHeight w:val="203"/>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100" w:type="dxa"/>
            <w:vAlign w:val="bottom"/>
            <w:shd w:val="clear" w:color="auto" w:fill="CCEEFF"/>
          </w:tcPr>
          <w:p>
            <w:pPr>
              <w:spacing w:after="0"/>
              <w:rPr>
                <w:sz w:val="17"/>
                <w:szCs w:val="17"/>
                <w:color w:val="auto"/>
              </w:rPr>
            </w:pPr>
          </w:p>
        </w:tc>
      </w:tr>
      <w:tr>
        <w:trPr>
          <w:trHeight w:val="207"/>
        </w:trPr>
        <w:tc>
          <w:tcPr>
            <w:tcW w:w="86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53,251</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79,410</w:t>
            </w:r>
          </w:p>
        </w:tc>
        <w:tc>
          <w:tcPr>
            <w:tcW w:w="100" w:type="dxa"/>
            <w:vAlign w:val="bottom"/>
          </w:tcPr>
          <w:p>
            <w:pPr>
              <w:spacing w:after="0"/>
              <w:rPr>
                <w:sz w:val="17"/>
                <w:szCs w:val="17"/>
                <w:color w:val="auto"/>
              </w:rPr>
            </w:pPr>
          </w:p>
        </w:tc>
      </w:tr>
      <w:tr>
        <w:trPr>
          <w:trHeight w:val="205"/>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7"/>
                <w:szCs w:val="17"/>
                <w:color w:val="auto"/>
              </w:rPr>
            </w:pPr>
          </w:p>
        </w:tc>
      </w:tr>
      <w:tr>
        <w:trPr>
          <w:trHeight w:val="203"/>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tcPr>
          <w:p>
            <w:pPr>
              <w:spacing w:after="0"/>
              <w:rPr>
                <w:sz w:val="17"/>
                <w:szCs w:val="17"/>
                <w:color w:val="auto"/>
              </w:rPr>
            </w:pPr>
          </w:p>
        </w:tc>
      </w:tr>
      <w:tr>
        <w:trPr>
          <w:trHeight w:val="203"/>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8,214</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100" w:type="dxa"/>
            <w:vAlign w:val="bottom"/>
            <w:shd w:val="clear" w:color="auto" w:fill="CCEEFF"/>
          </w:tcPr>
          <w:p>
            <w:pPr>
              <w:spacing w:after="0"/>
              <w:rPr>
                <w:sz w:val="17"/>
                <w:szCs w:val="17"/>
                <w:color w:val="auto"/>
              </w:rPr>
            </w:pPr>
          </w:p>
        </w:tc>
      </w:tr>
      <w:tr>
        <w:trPr>
          <w:trHeight w:val="203"/>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tcPr>
          <w:p>
            <w:pPr>
              <w:spacing w:after="0"/>
              <w:rPr>
                <w:sz w:val="17"/>
                <w:szCs w:val="17"/>
                <w:color w:val="auto"/>
              </w:rPr>
            </w:pPr>
          </w:p>
        </w:tc>
      </w:tr>
      <w:tr>
        <w:trPr>
          <w:trHeight w:val="203"/>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CEEFF"/>
          </w:tcPr>
          <w:p>
            <w:pPr>
              <w:spacing w:after="0"/>
              <w:rPr>
                <w:sz w:val="17"/>
                <w:szCs w:val="17"/>
                <w:color w:val="auto"/>
              </w:rPr>
            </w:pPr>
          </w:p>
        </w:tc>
      </w:tr>
      <w:tr>
        <w:trPr>
          <w:trHeight w:val="207"/>
        </w:trPr>
        <w:tc>
          <w:tcPr>
            <w:tcW w:w="86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66,924</w:t>
            </w:r>
          </w:p>
        </w:tc>
        <w:tc>
          <w:tcPr>
            <w:tcW w:w="60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92,486</w:t>
            </w:r>
          </w:p>
        </w:tc>
        <w:tc>
          <w:tcPr>
            <w:tcW w:w="100" w:type="dxa"/>
            <w:vAlign w:val="bottom"/>
          </w:tcPr>
          <w:p>
            <w:pPr>
              <w:spacing w:after="0"/>
              <w:rPr>
                <w:sz w:val="17"/>
                <w:szCs w:val="17"/>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convertible preferred stock and stockholders’ deficit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00" w:type="dxa"/>
            <w:vAlign w:val="bottom"/>
            <w:shd w:val="clear" w:color="auto" w:fill="CCEEFF"/>
          </w:tcPr>
          <w:p>
            <w:pPr>
              <w:spacing w:after="0"/>
              <w:rPr>
                <w:sz w:val="17"/>
                <w:szCs w:val="17"/>
                <w:color w:val="auto"/>
              </w:rPr>
            </w:pPr>
          </w:p>
        </w:tc>
      </w:tr>
      <w:tr>
        <w:trPr>
          <w:trHeight w:val="203"/>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compensation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1,411</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Pr>
          <w:p>
            <w:pPr>
              <w:spacing w:after="0"/>
              <w:rPr>
                <w:sz w:val="17"/>
                <w:szCs w:val="17"/>
                <w:color w:val="auto"/>
              </w:rPr>
            </w:pPr>
          </w:p>
        </w:tc>
      </w:tr>
      <w:tr>
        <w:trPr>
          <w:trHeight w:val="203"/>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license expense – related party</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CEEFF"/>
          </w:tcPr>
          <w:p>
            <w:pPr>
              <w:spacing w:after="0"/>
              <w:rPr>
                <w:sz w:val="17"/>
                <w:szCs w:val="17"/>
                <w:color w:val="auto"/>
              </w:rPr>
            </w:pPr>
          </w:p>
        </w:tc>
      </w:tr>
      <w:tr>
        <w:trPr>
          <w:trHeight w:val="203"/>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100" w:type="dxa"/>
            <w:vAlign w:val="bottom"/>
          </w:tcPr>
          <w:p>
            <w:pPr>
              <w:spacing w:after="0"/>
              <w:rPr>
                <w:sz w:val="17"/>
                <w:szCs w:val="17"/>
                <w:color w:val="auto"/>
              </w:rPr>
            </w:pPr>
          </w:p>
        </w:tc>
      </w:tr>
      <w:tr>
        <w:trPr>
          <w:trHeight w:val="203"/>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short-term portion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shd w:val="clear" w:color="auto" w:fill="CCEEFF"/>
          </w:tcPr>
          <w:p>
            <w:pPr>
              <w:spacing w:after="0"/>
              <w:rPr>
                <w:sz w:val="17"/>
                <w:szCs w:val="17"/>
                <w:color w:val="auto"/>
              </w:rPr>
            </w:pPr>
          </w:p>
        </w:tc>
      </w:tr>
      <w:tr>
        <w:trPr>
          <w:trHeight w:val="210"/>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Finance lease liabilities, short-term portion</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8"/>
                <w:szCs w:val="18"/>
                <w:color w:val="auto"/>
              </w:rPr>
            </w:pPr>
          </w:p>
        </w:tc>
      </w:tr>
      <w:tr>
        <w:trPr>
          <w:trHeight w:val="202"/>
        </w:trPr>
        <w:tc>
          <w:tcPr>
            <w:tcW w:w="8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11,954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16,874</w:t>
            </w:r>
          </w:p>
        </w:tc>
        <w:tc>
          <w:tcPr>
            <w:tcW w:w="100" w:type="dxa"/>
            <w:vAlign w:val="bottom"/>
            <w:shd w:val="clear" w:color="auto" w:fill="CCEEFF"/>
          </w:tcPr>
          <w:p>
            <w:pPr>
              <w:spacing w:after="0"/>
              <w:rPr>
                <w:sz w:val="17"/>
                <w:szCs w:val="17"/>
                <w:color w:val="auto"/>
              </w:rPr>
            </w:pPr>
          </w:p>
        </w:tc>
      </w:tr>
      <w:tr>
        <w:trPr>
          <w:trHeight w:val="203"/>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net of short-term portion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00" w:type="dxa"/>
            <w:vAlign w:val="bottom"/>
          </w:tcPr>
          <w:p>
            <w:pPr>
              <w:spacing w:after="0"/>
              <w:rPr>
                <w:sz w:val="17"/>
                <w:szCs w:val="17"/>
                <w:color w:val="auto"/>
              </w:rPr>
            </w:pPr>
          </w:p>
        </w:tc>
      </w:tr>
      <w:tr>
        <w:trPr>
          <w:trHeight w:val="203"/>
        </w:trPr>
        <w:tc>
          <w:tcPr>
            <w:tcW w:w="8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Finance lease liabilities, net of short-term portion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7"/>
                <w:szCs w:val="17"/>
                <w:color w:val="auto"/>
              </w:rPr>
            </w:pPr>
          </w:p>
        </w:tc>
      </w:tr>
      <w:tr>
        <w:trPr>
          <w:trHeight w:val="210"/>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8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20,247</w:t>
            </w:r>
          </w:p>
        </w:tc>
        <w:tc>
          <w:tcPr>
            <w:tcW w:w="6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23,718</w:t>
            </w:r>
          </w:p>
        </w:tc>
        <w:tc>
          <w:tcPr>
            <w:tcW w:w="100" w:type="dxa"/>
            <w:vAlign w:val="bottom"/>
            <w:shd w:val="clear" w:color="auto" w:fill="CCEEFF"/>
          </w:tcPr>
          <w:p>
            <w:pPr>
              <w:spacing w:after="0"/>
              <w:rPr>
                <w:sz w:val="17"/>
                <w:szCs w:val="17"/>
                <w:color w:val="auto"/>
              </w:rPr>
            </w:pP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8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Redeemable convertible preferred stock, $0.00001 par value, 97,462,067 and 114,556,997 shares authorized as of</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December 31, 2022 and September 30, 2023, respectively; 82,504,003 and 114,556,997 shares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outstanding as of December 31, 2022 and September 30, 2023, respectively; liquidation preference of $121,273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and $181,273 as of December 31, 2022 and September 30, 2023, respectively.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120,674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180,574</w:t>
            </w:r>
          </w:p>
        </w:tc>
        <w:tc>
          <w:tcPr>
            <w:tcW w:w="100" w:type="dxa"/>
            <w:vAlign w:val="bottom"/>
            <w:shd w:val="clear" w:color="auto" w:fill="CCEEFF"/>
          </w:tcPr>
          <w:p>
            <w:pPr>
              <w:spacing w:after="0"/>
              <w:rPr>
                <w:sz w:val="18"/>
                <w:szCs w:val="18"/>
                <w:color w:val="auto"/>
              </w:rPr>
            </w:pP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Common stock, $0.00001 par value; 117,000,000 and 133,492,016 shares authorized as of December 31, 2022 and</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September 30, 2023, respectively; 1,007,537 and 1,151,260 shares issued and outstanding as of, December 31,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2022 and September 30, 2023, respectively; 454,950 and 381,822 shares subject to repurchase as of</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December 31, 2022 and September 30, 2023, respectively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86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Pr>
          <w:p>
            <w:pPr>
              <w:spacing w:after="0"/>
              <w:rPr>
                <w:sz w:val="17"/>
                <w:szCs w:val="17"/>
                <w:color w:val="auto"/>
              </w:rPr>
            </w:pPr>
          </w:p>
        </w:tc>
      </w:tr>
      <w:tr>
        <w:trPr>
          <w:trHeight w:val="203"/>
        </w:trPr>
        <w:tc>
          <w:tcPr>
            <w:tcW w:w="8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r>
      <w:tr>
        <w:trPr>
          <w:trHeight w:val="203"/>
        </w:trPr>
        <w:tc>
          <w:tcPr>
            <w:tcW w:w="86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(75,677)</w:t>
            </w: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(115,376)</w:t>
            </w:r>
          </w:p>
        </w:tc>
      </w:tr>
      <w:tr>
        <w:trPr>
          <w:trHeight w:val="27"/>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(73,997)</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(111,806)</w:t>
            </w:r>
          </w:p>
        </w:tc>
      </w:tr>
      <w:tr>
        <w:trPr>
          <w:trHeight w:val="207"/>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 deficit</w:t>
            </w: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66,924</w:t>
            </w:r>
          </w:p>
        </w:tc>
        <w:tc>
          <w:tcPr>
            <w:tcW w:w="6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92,486</w:t>
            </w:r>
          </w:p>
        </w:tc>
        <w:tc>
          <w:tcPr>
            <w:tcW w:w="100" w:type="dxa"/>
            <w:vAlign w:val="bottom"/>
          </w:tcPr>
          <w:p>
            <w:pPr>
              <w:spacing w:after="0"/>
              <w:rPr>
                <w:sz w:val="17"/>
                <w:szCs w:val="17"/>
                <w:color w:val="auto"/>
              </w:rPr>
            </w:pPr>
          </w:p>
        </w:tc>
      </w:tr>
      <w:tr>
        <w:trPr>
          <w:trHeight w:val="20"/>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32,760</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8,269</w:t>
            </w:r>
          </w:p>
        </w:tc>
      </w:tr>
      <w:tr>
        <w:trPr>
          <w:trHeight w:val="230"/>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(41,029)</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 net</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comprehensive (loss) gain</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other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(20,431</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430,029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632,624</w:t>
            </w:r>
          </w:p>
        </w:tc>
        <w:tc>
          <w:tcPr>
            <w:tcW w:w="120" w:type="dxa"/>
            <w:vAlign w:val="bottom"/>
          </w:tcPr>
          <w:p>
            <w:pPr>
              <w:spacing w:after="0"/>
              <w:rPr>
                <w:sz w:val="19"/>
                <w:szCs w:val="19"/>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2600" w:type="dxa"/>
            <w:vAlign w:val="bottom"/>
          </w:tcPr>
          <w:p>
            <w:pPr>
              <w:spacing w:after="0"/>
              <w:rPr>
                <w:sz w:val="3"/>
                <w:szCs w:val="3"/>
                <w:color w:val="auto"/>
              </w:rPr>
            </w:pPr>
          </w:p>
        </w:tc>
        <w:tc>
          <w:tcPr>
            <w:tcW w:w="18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60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1860" w:type="dxa"/>
            <w:vAlign w:val="bottom"/>
            <w:gridSpan w:val="5"/>
            <w:vMerge w:val="continue"/>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780" w:type="dxa"/>
            <w:vAlign w:val="bottom"/>
            <w:gridSpan w:val="4"/>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160" w:type="dxa"/>
            <w:vAlign w:val="bottom"/>
            <w:tcBorders>
              <w:left w:val="single" w:sz="8" w:color="auto"/>
            </w:tcBorders>
          </w:tcPr>
          <w:p>
            <w:pPr>
              <w:spacing w:after="0"/>
              <w:rPr>
                <w:sz w:val="5"/>
                <w:szCs w:val="5"/>
                <w:color w:val="auto"/>
              </w:rPr>
            </w:pPr>
          </w:p>
        </w:tc>
        <w:tc>
          <w:tcPr>
            <w:tcW w:w="12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600" w:type="dxa"/>
            <w:vAlign w:val="bottom"/>
          </w:tcPr>
          <w:p>
            <w:pPr>
              <w:spacing w:after="0"/>
              <w:rPr>
                <w:sz w:val="9"/>
                <w:szCs w:val="9"/>
                <w:color w:val="auto"/>
              </w:rPr>
            </w:pPr>
          </w:p>
        </w:tc>
        <w:tc>
          <w:tcPr>
            <w:tcW w:w="17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9"/>
                <w:szCs w:val="9"/>
                <w:color w:val="auto"/>
              </w:rPr>
            </w:pPr>
          </w:p>
        </w:tc>
        <w:tc>
          <w:tcPr>
            <w:tcW w:w="1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9"/>
                <w:szCs w:val="9"/>
                <w:color w:val="auto"/>
              </w:rPr>
            </w:pPr>
          </w:p>
        </w:tc>
        <w:tc>
          <w:tcPr>
            <w:tcW w:w="13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2600" w:type="dxa"/>
            <w:vAlign w:val="bottom"/>
          </w:tcPr>
          <w:p>
            <w:pPr>
              <w:spacing w:after="0" w:line="20" w:lineRule="exact"/>
              <w:rPr>
                <w:sz w:val="1"/>
                <w:szCs w:val="1"/>
                <w:color w:val="auto"/>
              </w:rPr>
            </w:pPr>
          </w:p>
        </w:tc>
        <w:tc>
          <w:tcPr>
            <w:tcW w:w="11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left w:val="single" w:sz="8" w:color="auto"/>
            </w:tcBorders>
          </w:tcPr>
          <w:p>
            <w:pPr>
              <w:spacing w:after="0" w:line="20" w:lineRule="exact"/>
              <w:rPr>
                <w:sz w:val="1"/>
                <w:szCs w:val="1"/>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76,093,406</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$108,720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left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B</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redeemable convertible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 for cash,</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of issuance costs of</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6,410,597</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11,954</w:t>
            </w:r>
          </w:p>
        </w:tc>
        <w:tc>
          <w:tcPr>
            <w:tcW w:w="160" w:type="dxa"/>
            <w:vAlign w:val="bottom"/>
            <w:tcBorders>
              <w:left w:val="single" w:sz="8" w:color="auto"/>
            </w:tcBorders>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Vesting of early exercised</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options and restricted</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2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shares issued upon</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exercise of options</w:t>
            </w:r>
          </w:p>
        </w:tc>
        <w:tc>
          <w:tcPr>
            <w:tcW w:w="11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(20,397)</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available-for-sale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marketable securities, net</w:t>
            </w:r>
          </w:p>
        </w:tc>
        <w:tc>
          <w:tcPr>
            <w:tcW w:w="11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82,504,003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120,674</w:t>
            </w:r>
          </w:p>
        </w:tc>
        <w:tc>
          <w:tcPr>
            <w:tcW w:w="80" w:type="dxa"/>
            <w:vAlign w:val="bottom"/>
          </w:tcPr>
          <w:p>
            <w:pPr>
              <w:spacing w:after="0"/>
              <w:rPr>
                <w:sz w:val="20"/>
                <w:szCs w:val="20"/>
                <w:color w:val="auto"/>
              </w:rPr>
            </w:pPr>
          </w:p>
        </w:tc>
        <w:tc>
          <w:tcPr>
            <w:tcW w:w="160" w:type="dxa"/>
            <w:vAlign w:val="bottom"/>
            <w:tcBorders>
              <w:left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82,504,003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$120,674</w:t>
            </w:r>
          </w:p>
        </w:tc>
        <w:tc>
          <w:tcPr>
            <w:tcW w:w="160" w:type="dxa"/>
            <w:vAlign w:val="bottom"/>
            <w:tcBorders>
              <w:left w:val="single" w:sz="8" w:color="auto"/>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1,007,537</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(75,677)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(73,997)</w:t>
            </w:r>
          </w:p>
        </w:tc>
        <w:tc>
          <w:tcPr>
            <w:tcW w:w="0" w:type="dxa"/>
            <w:vAlign w:val="bottom"/>
          </w:tcPr>
          <w:p>
            <w:pPr>
              <w:spacing w:after="0"/>
              <w:rPr>
                <w:sz w:val="1"/>
                <w:szCs w:val="1"/>
                <w:color w:val="auto"/>
              </w:rPr>
            </w:pPr>
          </w:p>
        </w:tc>
      </w:tr>
      <w:tr>
        <w:trPr>
          <w:trHeight w:val="198"/>
        </w:trPr>
        <w:tc>
          <w:tcPr>
            <w:tcW w:w="2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B</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redeemable convertible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 for cash,</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of issuance costs of</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32,052,994</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59,900</w:t>
            </w:r>
          </w:p>
        </w:tc>
        <w:tc>
          <w:tcPr>
            <w:tcW w:w="160" w:type="dxa"/>
            <w:vAlign w:val="bottom"/>
            <w:tcBorders>
              <w:left w:val="single" w:sz="8" w:color="auto"/>
            </w:tcBorders>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Vesting of early exercised</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options and restricted</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8"/>
        </w:trPr>
        <w:tc>
          <w:tcPr>
            <w:tcW w:w="2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shares issued upon</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exercise of options</w:t>
            </w:r>
          </w:p>
        </w:tc>
        <w:tc>
          <w:tcPr>
            <w:tcW w:w="11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2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(39,699)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(39,699)</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gain 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available-for-sale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marketable securities, net</w:t>
            </w:r>
          </w:p>
        </w:tc>
        <w:tc>
          <w:tcPr>
            <w:tcW w:w="11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left w:val="single" w:sz="8" w:color="auto"/>
            </w:tcBorders>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114,556,997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180,574</w:t>
            </w:r>
          </w:p>
        </w:tc>
        <w:tc>
          <w:tcPr>
            <w:tcW w:w="80" w:type="dxa"/>
            <w:vAlign w:val="bottom"/>
          </w:tcPr>
          <w:p>
            <w:pPr>
              <w:spacing w:after="0"/>
              <w:rPr>
                <w:sz w:val="19"/>
                <w:szCs w:val="19"/>
                <w:color w:val="auto"/>
              </w:rPr>
            </w:pPr>
          </w:p>
        </w:tc>
        <w:tc>
          <w:tcPr>
            <w:tcW w:w="160" w:type="dxa"/>
            <w:vAlign w:val="bottom"/>
            <w:tcBorders>
              <w:left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1,151,260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7"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2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80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9"/>
              </w:rPr>
              <w:t>(20,397)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9"/>
              </w:rPr>
              <w:t>(39,699)</w:t>
            </w:r>
          </w:p>
        </w:tc>
        <w:tc>
          <w:tcPr>
            <w:tcW w:w="0" w:type="dxa"/>
            <w:vAlign w:val="bottom"/>
          </w:tcPr>
          <w:p>
            <w:pPr>
              <w:spacing w:after="0"/>
              <w:rPr>
                <w:sz w:val="1"/>
                <w:szCs w:val="1"/>
                <w:color w:val="auto"/>
              </w:rPr>
            </w:pPr>
          </w:p>
        </w:tc>
      </w:tr>
      <w:tr>
        <w:trPr>
          <w:trHeight w:val="204"/>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operations: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1,436</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Accretion of discounts on available-for-sale marketable securities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(510)</w:t>
            </w: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1,245</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Non-cash lease expense</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1,266</w:t>
            </w: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03"/>
        </w:trPr>
        <w:tc>
          <w:tcPr>
            <w:tcW w:w="8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Other non-current assets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Accounts payable</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1,104</w:t>
            </w:r>
          </w:p>
        </w:tc>
        <w:tc>
          <w:tcPr>
            <w:tcW w:w="0" w:type="dxa"/>
            <w:vAlign w:val="bottom"/>
          </w:tcPr>
          <w:p>
            <w:pPr>
              <w:spacing w:after="0"/>
              <w:rPr>
                <w:sz w:val="1"/>
                <w:szCs w:val="1"/>
                <w:color w:val="auto"/>
              </w:rPr>
            </w:pPr>
          </w:p>
        </w:tc>
      </w:tr>
      <w:tr>
        <w:trPr>
          <w:trHeight w:val="203"/>
        </w:trPr>
        <w:tc>
          <w:tcPr>
            <w:tcW w:w="8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Accrued compensation.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2,327</w:t>
            </w:r>
          </w:p>
        </w:tc>
        <w:tc>
          <w:tcPr>
            <w:tcW w:w="0" w:type="dxa"/>
            <w:vAlign w:val="bottom"/>
          </w:tcPr>
          <w:p>
            <w:pPr>
              <w:spacing w:after="0"/>
              <w:rPr>
                <w:sz w:val="1"/>
                <w:szCs w:val="1"/>
                <w:color w:val="auto"/>
              </w:rPr>
            </w:pPr>
          </w:p>
        </w:tc>
      </w:tr>
      <w:tr>
        <w:trPr>
          <w:trHeight w:val="203"/>
        </w:trPr>
        <w:tc>
          <w:tcPr>
            <w:tcW w:w="8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(1,216)</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Accrued license expense</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8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Deferred revenue – related party</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(6,743)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(27,296)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(33,847)</w:t>
            </w:r>
          </w:p>
        </w:tc>
        <w:tc>
          <w:tcPr>
            <w:tcW w:w="0" w:type="dxa"/>
            <w:vAlign w:val="bottom"/>
          </w:tcPr>
          <w:p>
            <w:pPr>
              <w:spacing w:after="0"/>
              <w:rPr>
                <w:sz w:val="1"/>
                <w:szCs w:val="1"/>
                <w:color w:val="auto"/>
              </w:rPr>
            </w:pPr>
          </w:p>
        </w:tc>
      </w:tr>
      <w:tr>
        <w:trPr>
          <w:trHeight w:val="208"/>
        </w:trPr>
        <w:tc>
          <w:tcPr>
            <w:tcW w:w="8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available-for-sale marketable securities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(55,058)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(53,862)</w:t>
            </w: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maturities of available-for-sale marketable securities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26,570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13,683</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16"/>
        </w:trPr>
        <w:tc>
          <w:tcPr>
            <w:tcW w:w="80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9"/>
              </w:rPr>
              <w:t>(29,244)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2"/>
              </w:rPr>
              <w:t>(40,466)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the issuance of redeemable convertible preferred stock, net of issuance costs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11,954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59,900</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exercise of common stock options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paid on finance lease liabilities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Payments for deferred offering costs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17"/>
        </w:trPr>
        <w:tc>
          <w:tcPr>
            <w:tcW w:w="804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 and restricted cash</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(44,558)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9"/>
              </w:rPr>
              <w:t>(14,761)</w:t>
            </w:r>
          </w:p>
        </w:tc>
        <w:tc>
          <w:tcPr>
            <w:tcW w:w="0" w:type="dxa"/>
            <w:vAlign w:val="bottom"/>
          </w:tcPr>
          <w:p>
            <w:pPr>
              <w:spacing w:after="0"/>
              <w:rPr>
                <w:sz w:val="1"/>
                <w:szCs w:val="1"/>
                <w:color w:val="auto"/>
              </w:rPr>
            </w:pPr>
          </w:p>
        </w:tc>
      </w:tr>
      <w:tr>
        <w:trPr>
          <w:trHeight w:val="209"/>
        </w:trPr>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32,061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23,528</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to statement of financial position</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31,508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22,967</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32,061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23,528</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for non-cash investing and financing activities</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Unpaid deferred offering costs included in accounts payable and other current liabilities</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729</w:t>
            </w:r>
          </w:p>
        </w:tc>
        <w:tc>
          <w:tcPr>
            <w:tcW w:w="0" w:type="dxa"/>
            <w:vAlign w:val="bottom"/>
          </w:tcPr>
          <w:p>
            <w:pPr>
              <w:spacing w:after="0"/>
              <w:rPr>
                <w:sz w:val="1"/>
                <w:szCs w:val="1"/>
                <w:color w:val="auto"/>
              </w:rPr>
            </w:pPr>
          </w:p>
        </w:tc>
      </w:tr>
      <w:tr>
        <w:trPr>
          <w:trHeight w:val="20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Vesting of restricted stock</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Right-of-use assets obtained in exchange for operating and finance lease liability (see Note 7)</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6,023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854</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for cash flow activities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interest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Description of Business, Organization and Liquidity</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Kyverna Therapeutics, Inc. (“Kyverna” or “the Company”) is a cell therapy clinical-stage biotechnology company with the mission of engineering a new class of therapies for autoimmune and inflammatory diseases. The Kyverna therapeutic platform combines advanced T-cell engineering and synthetic biology technologies to suppress and eliminate the autoreactive immune cells at the origin of autoimmune and inflammatory diseases. The Company was incorporated on June 14, 2018, was initially named BAIT Therapeutics, Inc., changed its name to Kyverna Therapeutics, Inc. on October 1, 2019, and is headquartered in Emeryville, California.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inception. As of September 30, 2023, the Company has an accumulated deficit of approximately $115.4 million. The Company had net losses of $20.4 million and $39.7 million for the nine months ended September 30, 2022 and 2023, respectively. Cash used in operating activities was $27.3 million and $33.8 million for the nine months ended September 30, 2022 and 2023, respectively.</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issuances of redeemable convertible preferred stock and convertible notes and revenue from its collaboration agreement. The Company expects to continue to incur operating losses and negative cash flows from operations to support the development of its product candidates, for the expansion of its product portfolio and to continue its research and development activities, including preclinical studies and clinical trials. The Company’s activities are subject to significant risks and uncertainties, including completing requisite clinical activities to support regulatory approvals, market acceptance of the Company’s product candidates, if approved, as well as the timing and extent of spending on research and development.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cash and cash equivalents and available-for-sale marketable securities of $77.3 million as of September 30, 2023 are not sufficient to fund the Company’s planned operations for at least one year from the issuance date of these unaudited condensed financial statements, which raises substantial doubt as to the Company’s ability to continue as a going concern. Additional funds are necessary to maintain current operations and to continue research and development activities. The Company’s management plans to monitor expenses and raise additional capital through a combination of public and private equity and debt financings, strategic alliances and licensing arrangements. The Company’s ability to access capital when needed is not assured and, if capital is not available to the Company when, and in the amounts, needed, the Company could be required to delay, scale back or abandon some or all of its development programs and other operations, which could materially harm the Company’s business, financial condition and results of operations.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assuming that the Company will continue as a going concern, which contemplates the realization of assets and satisfaction of liabilities in the normal course of business. The accompanying unaudited condensed financial statements do not reflect any adjustments relating to the recoverability and reclassification of assets and liabilities that might be necessary if the Company is unable to continue as a going concern.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unaudited condensed financial statements have been prepared in accordance with accounting principles generally accepted in the United States (“GAAP”) and applicable rules and regulations of the SEC regarding interim financial reporting.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Financial Statements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condensed balance sheet as of September 30, 2023, and the condensed statements of operations and comprehensive loss, cash flows, and redeemable convertible preferred stock and stockholders’ deficit for the nine months ended September 30, 2022 and 2023 are unaudited. The unaudited condensed financial statements have been prepared on the same basis as the annual financial statements and reflect, in the opinion of management, all adjustments of a normal and recurring nature that are necessary for the fair statement of the Company’s financial position as of September 30, 2023 and its results of operations and cash flows for the nine months ended September 30, 2022 and 2023. The financial data and the other financial information disclosed in these notes to the financial statements related to the nine-month periods are also unaudited. The results of operations for the nine months ended September 30, 2023 are not necessarily indicative of the results to be expected for the year ending December 31, 2023, or for any other future annual or interim period. The unaudited condensed balance sheet as of December 31, 2022 included herein was derived from the audited financial statements as of that date. Certain information and footnote disclosures normally included in financial statements prepared in accordance with GAAP have been condensed or omitted from these unaudited condensed financial statements. These unaudited condensed financial statements should be read in conjunction with the Company’s audited financial statements for the years ended December 31, 2021 and 2022 included elsewhere herein.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revenue and expenses during the reporting period. On an ongoing basis, the Company evaluates its estimates and assumptions, including those related to revenue recognition under the Gilead Agreement, revenue recognition under its collaboration agreement, research and development accrued expenses, valuation of its common stock, stock-based compensation, valuation of deferred tax assets and uncertain income tax positions. Management bases its estimates on historical experience and on various other assumptions that are believed to be reasonable under the circumstances, the results of which form the basis for making judgments about the carrying values of assets and liabilities and the amount reported as revenue and expenses that are not readily apparent from other sources. Actual results may differ materially from those estimates.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developing therapies for autoimmune and inflammatory diseases. The chief executive officer, who is the chief operating decision maker, reviews financial information on an aggregate basis for purposes of allocating resources and evaluating financial performance. All of the Company’s long-lived assets are located in the United States. All of the Company’s collaboration revenue is derived from a related-party customer headquartered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readily available checking accounts and money market funds. The Company considers all highly liquid investments purchased with an original maturity of three months or less to be cash equivalents.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and September 30, 2023, the Company had $0.6 million of long-term restricted cash held as security for the Company’s building lease. The entire amount is deposited with a financial institution and held in separate bank accounts.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Marketable Securities</w:t>
      </w:r>
    </w:p>
    <w:p>
      <w:pPr>
        <w:spacing w:after="0" w:line="121"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Available-for-sale marketable securities as of December 31, 2022 and September 30, 2023, consist of U.S treasury bills and notes. The Company carries available-for-sale marketable securities at fair value. Unrealized gains and losses on available-for-sale debt marketable securities are reported in accumulated other comprehensive loss, which is a separate component of stockholders’ deficit. The cost of available-for-sale debt marketable securities is adjusted for amortization of premiums and accretion of discounts to maturity. The amortization and accretion are included in interest income together with interest and dividends. The cost of securities sold is based on the specific identification method.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Realized gains and losses on the sale of securities are determined by specific identification of each security’s cost basis. The Company regularly reviews its investment portfolio to determine if any security is impaired, which would require it to record an allowance for credit losses or an impairment charge in the period any such determination is made. In making this judgment, the Company evaluates, among other things, the extent to which the fair value of a security is less than its amortized cost, its intent to sell or whether it is more likely than not that the Company will be required to sell the security before recovery of its amortized cost basis, the financial condition of the issuer and any changes thereto, and, as necessary, the portion of a decline in fair value that is credit-related. This assessment could change in the future due to new developments or changes in assumptions related to any particular security. Realized gains and losses, allowances for credit losses and impairments on available-for-sale securities, if any, are recorded to interest expense, net in the unaudited condensed statements of operations and comprehensive loss.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Cash, cash equivalents, restricted cash and available-for-sale marketable securities are financial instruments that potentially subject the Company to concentrations of credit risk. The Company’s cash and restricted cash were deposited with two financial institutions, and account balances may at times exceed federally insured limits. As of September 30, 2023, the Company also had investments in money market funds and U.S. Treasury bills, which can be subject to certain credit risks. The Company mitigates the risks by investing in high-grade instruments, limiting its exposure to any one issuer and monitoring the ongoing creditworthiness of the financial institutions and issuers. The Company has not experienced any material losses on its financial instruments and has full access to and control over all of its cash, cash equivalents and available-for-sale marketable securities.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of the Company’s collaboration revenue is derived from its collaboration, option and license agreement with Gilead Sciences, Inc. (the “Gilead Agreement”) (see Note 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Finance Issuance Costs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Deferred finance issuance costs, consisting of legal, accounting and other third-party fees directly relating to in-process equity financings or offerings, are capitalized. The deferred finance issuance costs will be offset against offering proceeds upon the completion of the financing or the offering. In the event the financing or the offering is terminated or delayed, deferred finance issuance costs will be expensed immediately as a charge to general and administrative expenses in the statements of operations and comprehensive loss. The Company had zero and $0.9 million deferred finance issuance costs recorded as other non-current assets as of December 31, 2022 and September 30, 2023,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to amend the current accounting standard, which requires the measurement of all expected losses to be based on historical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conditions and reasonable and supportable forecasts. For trade receivables, contract assets and other financial instruments, the Company is required to use a forward-looking expected loss model that reflects probable losses rather than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incurred loss model for recognizing credit losses. The Company adopted this standard effective January 1, 2023, and amended its disclosures and accounting policy as related to available-for-sale marketable securities in accordance with the new standard. There were no changes to the Company’s operating results, balance sheets and cash flows as a result of the adoption.</w:t>
      </w:r>
    </w:p>
    <w:p>
      <w:pPr>
        <w:spacing w:after="0" w:line="17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which simplifies the accounting for certain financial instruments with characteristics of liabilities and equity, including convertible instruments and contracts on an entity’s own equity. Specifically, ASU 2020-06 simplifies accounting for the issuance of convertible instruments by removing major separation models required under current GAAP. In addition, the ASU removes certain settlement conditions that are required for equity contracts to qualify for the derivative scope exception and simplifies the diluted earnings per share calculation in certain areas. The Company adopted this standard effective January 1, 2023, which did not have an impact on the unaudited condensed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 and Fair Value of Financial Instruments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authoritative guidance on fair value measurements establishes a three-tier fair value hierarchy for disclosure of fair value measurements, as follows:</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left="560"/>
        <w:spacing w:after="0" w:line="315"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active or other inputs that are observable or can be corroborated by observable market data for substantially the full term of the assets or liabilities.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cash equivalents and available-for-sale marketable securities measured at fair value on a recurring basis as of December 31, 2022, was as follows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8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4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$13,713</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$13,713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notes</w:t>
            </w:r>
          </w:p>
        </w:tc>
        <w:tc>
          <w:tcPr>
            <w:tcW w:w="34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6,378</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6,378</w:t>
            </w:r>
          </w:p>
        </w:tc>
        <w:tc>
          <w:tcPr>
            <w:tcW w:w="16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342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7,209</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7,209</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27,300</w:t>
            </w:r>
          </w:p>
        </w:tc>
        <w:tc>
          <w:tcPr>
            <w:tcW w:w="5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13,713</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13,587</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3420" w:type="dxa"/>
            <w:vAlign w:val="bottom"/>
            <w:gridSpan w:val="4"/>
          </w:tcPr>
          <w:p>
            <w:pPr>
              <w:jc w:val="right"/>
              <w:ind w:right="2060"/>
              <w:spacing w:after="0"/>
              <w:rPr>
                <w:sz w:val="20"/>
                <w:szCs w:val="20"/>
                <w:color w:val="auto"/>
              </w:rPr>
            </w:pPr>
            <w:r>
              <w:rPr>
                <w:rFonts w:ascii="Times New Roman" w:cs="Times New Roman" w:eastAsia="Times New Roman" w:hAnsi="Times New Roman"/>
                <w:sz w:val="18"/>
                <w:szCs w:val="18"/>
                <w:color w:val="auto"/>
              </w:rPr>
              <w:t>F-40</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cash equivalents and available-for-sale marketable securities measured at fair value on a recurring basis as of September 30, 2023, was as follows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2023:</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1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8,883</w:t>
            </w:r>
          </w:p>
        </w:tc>
        <w:tc>
          <w:tcPr>
            <w:tcW w:w="1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$8,883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6,985</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6,985</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54,307</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54,307</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5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70,175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8,883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61,292</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consist of the Company’s cash equivalents and available-for-sale marketable securities. Cash equivalents consisted of money market funds, and available-for-sale marketable securities consisted of U.S. Treasury notes and bills. The Company obtains pricing information from its investment manager and generally determines the fair value of available-for-sale marketable securities using standard observable inputs, including reported trades, broker/dealer quotes and bids and/or offers. The Company recognizes transfers into and out of levels within the fair value hierarchy in the period in which the actual event or change in circumstances that caused the transfer occurs.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Available-for-Sale Marketable Securities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Company’s available-for-sale marketable securities consisted entirely of debt securities issued by the U.S. Treasury with contractual maturities on various dates through March 2023. As of September 30, 2023, the Company’s available-for-sale marketable securities consisted entirely of debt securities issued by the U.S. Treasury with contractual maturities on various dates through February 2024.</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unrealized gains and losses and fair value of the Company’s available-for-sale marketable securities as of December 31, 2022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38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0"/>
        </w:trPr>
        <w:tc>
          <w:tcPr>
            <w:tcW w:w="1560" w:type="dxa"/>
            <w:vAlign w:val="bottom"/>
            <w:gridSpan w:val="2"/>
            <w:vMerge w:val="continue"/>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37"/>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5"/>
                <w:szCs w:val="15"/>
                <w:color w:val="auto"/>
              </w:rPr>
            </w:pPr>
          </w:p>
        </w:tc>
        <w:tc>
          <w:tcPr>
            <w:tcW w:w="7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 Treasury notes</w:t>
            </w:r>
          </w:p>
        </w:tc>
        <w:tc>
          <w:tcPr>
            <w:tcW w:w="3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6,396</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6,378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40" w:type="dxa"/>
            <w:vAlign w:val="bottom"/>
            <w:gridSpan w:val="2"/>
            <w:shd w:val="clear" w:color="auto" w:fill="CCEEFF"/>
          </w:tcPr>
          <w:p>
            <w:pPr>
              <w:ind w:left="38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13,613</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unrealized gains and losses and fair value of the Company’s available-for-sale marketable securities as of September 30, 2023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5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3"/>
                <w:szCs w:val="13"/>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386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4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0"/>
        </w:trPr>
        <w:tc>
          <w:tcPr>
            <w:tcW w:w="1600" w:type="dxa"/>
            <w:vAlign w:val="bottom"/>
            <w:tcBorders>
              <w:bottom w:val="single" w:sz="8" w:color="auto"/>
            </w:tcBorders>
            <w:vMerge w:val="continue"/>
          </w:tcPr>
          <w:p>
            <w:pPr>
              <w:spacing w:after="0"/>
              <w:rPr>
                <w:sz w:val="15"/>
                <w:szCs w:val="15"/>
                <w:color w:val="auto"/>
              </w:rPr>
            </w:pPr>
          </w:p>
        </w:tc>
        <w:tc>
          <w:tcPr>
            <w:tcW w:w="3860" w:type="dxa"/>
            <w:vAlign w:val="bottom"/>
          </w:tcPr>
          <w:p>
            <w:pPr>
              <w:spacing w:after="0"/>
              <w:rPr>
                <w:sz w:val="15"/>
                <w:szCs w:val="15"/>
                <w:color w:val="auto"/>
              </w:rPr>
            </w:pPr>
          </w:p>
        </w:tc>
        <w:tc>
          <w:tcPr>
            <w:tcW w:w="70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56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640" w:type="dxa"/>
            <w:vAlign w:val="bottom"/>
          </w:tcPr>
          <w:p>
            <w:pPr>
              <w:spacing w:after="0"/>
              <w:rPr>
                <w:sz w:val="15"/>
                <w:szCs w:val="15"/>
                <w:color w:val="auto"/>
              </w:rPr>
            </w:pPr>
          </w:p>
        </w:tc>
        <w:tc>
          <w:tcPr>
            <w:tcW w:w="7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 Treasury bills</w:t>
            </w:r>
          </w:p>
        </w:tc>
        <w:tc>
          <w:tcPr>
            <w:tcW w:w="38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$ 54,302</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$ 54,307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$ 54,302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$ 54,307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2022 and September 30, 2023, no significant facts or circumstances were present to indicate a deterioration in the creditworthiness of the issuers of the Company’s marketable securities, and the Company has no requirement or intention to sell these securities before maturity or recovery of their amortized cost basis. During the year ended December 31, 2022 and the nine months ended September 30, 2023, the Company did not recognize any impairment losses on its investments.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Property and equipment, net, consists of the following (in thousands):</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Laboratory equipment</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Computer equipment and software</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73"/>
        </w:trPr>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3,065</w:t>
            </w:r>
          </w:p>
        </w:tc>
        <w:tc>
          <w:tcPr>
            <w:tcW w:w="1140" w:type="dxa"/>
            <w:vAlign w:val="bottom"/>
          </w:tcPr>
          <w:p>
            <w:pPr>
              <w:spacing w:after="0"/>
              <w:rPr>
                <w:sz w:val="16"/>
                <w:szCs w:val="16"/>
                <w:color w:val="auto"/>
              </w:rPr>
            </w:pPr>
          </w:p>
        </w:tc>
        <w:tc>
          <w:tcPr>
            <w:tcW w:w="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3,093</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-556895</wp:posOffset>
            </wp:positionV>
            <wp:extent cx="5314950" cy="145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314950" cy="14541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-273685</wp:posOffset>
            </wp:positionV>
            <wp:extent cx="531495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440" w:space="720"/>
            <w:col w:w="4960"/>
          </w:cols>
          <w:pgMar w:left="320" w:top="455" w:right="459" w:bottom="1440" w:gutter="0" w:footer="0" w:header="0"/>
          <w:type w:val="continuous"/>
        </w:sectPr>
      </w:pPr>
    </w:p>
    <w:tbl>
      <w:tblPr>
        <w:tblLayout w:type="fixed"/>
        <w:tblInd w:w="1440" w:type="dxa"/>
        <w:tblCellMar>
          <w:top w:w="0" w:type="dxa"/>
          <w:left w:w="0" w:type="dxa"/>
          <w:bottom w:w="0" w:type="dxa"/>
          <w:right w:w="0" w:type="dxa"/>
        </w:tblCellMar>
      </w:tblP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Property and equipment, gross</w:t>
            </w: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4,193</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4,479</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(1,618)</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(2,255)</w:t>
            </w:r>
          </w:p>
        </w:tc>
      </w:tr>
      <w:tr>
        <w:trPr>
          <w:trHeight w:val="27"/>
        </w:trPr>
        <w:tc>
          <w:tcPr>
            <w:tcW w:w="3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2,575</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w:t>
            </w: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during each of the nine months ended September 30, 2022 and 2023 was $0.6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Significant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 (Related Party)</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January 2020, the Company entered into the Collaboration, Option and License Agreement (the “Gilead Agreement”) with Gilead Sciences, Inc. (“Gilead”). Simultaneously with the entry into the Gilead Agreement, the Company entered into (i) a License Agreement (the “Kite Agreement”) with Kite Pharma Inc. (“Kite”), an affiliate of Gilead (see below), and (ii) a stock purchase agreement, pursuant to which the Company issued to Gilead an aggregate of 6,890,744 shares of its Series A-2 Preferred Stock, of which 4,042,066 shares were issued as consideration under the Kite Agreement (see below).</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Pursuant to the Gilead Agreement, the Company and Gilead were to collaborate to develop potential cell-based therapy products, which may use the SynNotch Technology and the SynNotch intellectual property related thereto, controlled by Gilead through Kite, for the treatment, diagnosis or prevention of autoimmune, inflammatory, or allogeneic stem cell transplant inflammatory diseases (excluding post-transplant infectious diseases), subject to certain exceptions. The Gilead Agreement initially involved the research and development of cell-based products for the treatment, diagnosis or prevention of two indications under two research programs and non-exclusive research licenses, specifically, Crohn’s disease, or Program A, and Ulcerative colitis, or Program B. Upon execution of the Gilead Agreement, Gilead paid the Company a one-time, non-refundable and non-creditable payment of $17.5 million.</w:t>
      </w:r>
    </w:p>
    <w:p>
      <w:pPr>
        <w:spacing w:after="0" w:line="189"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Pursuant to the Gilead Agreement, the Company also granted Gilead, on a research program-by-program basis, an exclusive option, exercisable at any time during the Option Period for such program, to obtain an exclusive license under such program’s intellectual property to develop, manufacture, and commercialize optioned products belonging to such program for a specified fee and on the terms and conditions set out in the Gilead Agreement.</w:t>
      </w:r>
    </w:p>
    <w:p>
      <w:pPr>
        <w:spacing w:after="0" w:line="2"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For purposes of the foregoing, an Option Period means, on a program-by-program basis, the period commencing on the date of execution of the Gilead Agreement and ending upon the earlier of (i) the expiration of the review period for such program, and (ii) the ten-year anniversary of the date of execution of the Gilead Agreement.</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terminated earlier, the Gilead Agreement will expire, with respect to each program, (i) upon such program becoming a terminated program, or (ii) on an optioned product-by-optioned product and country-by-country basis, upon the expiration of the royalty term with respect to such optioned product in such country with respect to such program. Gilead has the right to terminate the Gilead Agreement at will, in its sole discretion, in its entirety or on a program-by-program or optioned program-by-optioned program basis at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type w:val="continuous"/>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time upon ninety days’ prior written notice to us. In addition, either party may terminate the Gilead Agreement for uncured material breach by the other party, or upon the occurrence of insolvency-related events of the other party.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royalty term under the Gilead Agreement continues on an optioned product-by-optioned product and country-by-country basis until the latest of: (i) the date on which there is no valid claim of a program patent; (ii) the expiration of any regulatory exclusivity with respect to such optioned product in the relevant country; and (iii) the ten-year anniversary of the date of the first commercial sale of such optioned product in such country.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concluded that the Gilead Agreement is in the scope of ASC Topic 606. The Company estimated the transaction price as</w:t>
      </w:r>
    </w:p>
    <w:p>
      <w:pPr>
        <w:spacing w:after="0" w:line="27"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$17.5 million, which was allocated to two performance obligations, Program A and Program B, based on the relative fair value of each program. Other milestone payments were constrained and not included in the transaction price as they were considered not probable as of December 31, 2022. The Company recognized $6.7 million as collaboration revenue during the nine months ended September 30, 2022. On November 30, 2022, after the completion of research activities under Program A and Program B, Gilead provided the Company with notice that Program A and Program B were terminated. As of December 31, 2022 and September 30, 2023, there were no other active programs under the Gilead Agreement and deferred revenue was zero.</w:t>
      </w:r>
    </w:p>
    <w:p>
      <w:pPr>
        <w:spacing w:after="0" w:line="19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October 24, 2023, after agreement by both parties that the Gilead Agreement had no active programs, Gilead provided the Company with 90 days’ written notice to terminate the Gilead Agreement, and such termination became effective as of January 22,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Kite License Agreement (Related Party)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Gilead Agreement, the Company entered into the Kite Agreement. Pursuant to the Kite Agreement, Kite granted to the Company a ten-year, co-exclusive license for the SynNotch technology primarily used in the Company’s own internal research and development programs for the treatment, diagnosis or prevention of autoimmune, inflammatory or allogeneic stem cell transplant inflammatory diseases (excluding post-transplant infectious diseases). Upon expiration of the ten-year co-exclusive license term, the license will become a non-exclusive license through expiration of the related patents.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Kite had licensed certain of the SynNotch technology included in the Kite Agreement pursuant to that certain Amended and Restated Exclusive License Agreement, between The Regents of the University of California and Kite (as successor to Cell Design Labs, Inc.), or the UCSF License Agreement. The Company is responsible for all costs and payments arising under the UCSF License Agreement and as a result of activities under the Kite Agreement, including earned royalties based on a low single-digit percentage of net sales, milestone payments in an aggregate amount of up to $10.8 million and accrued interest payables.</w:t>
      </w:r>
    </w:p>
    <w:p>
      <w:pPr>
        <w:spacing w:after="0" w:line="183"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Pursuant to the Kite Agreement, the Company is also obligated to pay mid-teen- and mid-single-digit percentages of annual maintenance fees, minimum annual royalties and patent prosecution costs payable under the UCSF License Agreement during the co-exclusive term and non-exclusive term, respectively. The Company was also obligated to pay a $6.3 million sublicensing fee under the UCSF License Agreement, which the Company agreed to offset with future milestone payments payable by Gilead under the Gilead Agreement.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Unless terminated earlier, the Kite Agreement will expire upon the expiration of all licensed patents and Kite improvement patents therein. The Company has the right to terminate the Kite Agreement at will, in the Company’s sole discretion, in its entirety upon 90 days’ written notice to Kite. In addition, either party may terminate the Kite Agreement for uncured material breach by the other party, or upon the occurrence of insolvency-related events of the other party.</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January 2020, as a consideration for the license, the Company issued to Gilead an aggregate of 4,042,066 shares of Series A-2 Preferred Stock at a price per share of $0.8776, which was the purchase price paid by other investors in the Series A-2 Preferred Stock financing, for a total of $3.5 million.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40"/>
          </w:cols>
          <w:pgMar w:left="320" w:top="455" w:right="5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acquisition of the co-exclusive license under the Kite Agreement, including patent rights and know-how, was accounted for as an asset acquisition. As the acquired technology did not have an alternative use for accounting purposes, the license consideration of $3.5 million and the sublicensing fee of $6.3 million was recorded as a research and development expense in the statements of operations and comprehensive loss for the year ended December 31, 2020.</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2022 and September 30, 2023, the Company recognized the total sublicensing fee of $6.3 million as current accrued license expense—related party, of which $2.5 million became payable as a result of the qualified financing. The Company expects to pay such amount of $2.5 million by mid-2024. The remaining $3.8 million was available to be offset against future milestones payable by Gilead under the Gilead Agreement; however, due to the termination of the Gilead Agreement, there are no future milestones payable to offset the sublicensing fee, and the payment schedule for the remaining $3.8 million of the sublicensing fee has not been agreed to by the Company and Gilead.</w:t>
      </w:r>
    </w:p>
    <w:p>
      <w:pPr>
        <w:spacing w:after="0" w:line="183"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annual maintenance fee, patent prosecutions costs and minimal annual royalties are expensed as incurred and were minimal for the nine months ended September 30, 2022 and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Intellia License and Collaboration Agreement (Related Party)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License and Collaboration Agreement (the “Intellia Agreement”) with Intellia Therapeutics, Inc. (“Intellia”) to research and develop an allogeneic CD19-directed CAR cell therapy product (the “CRISPR Product”), suitable for validation through pre-clinical and clinical proof of concept clinical trials, including the performance of activities as agreed in the collaboration plan. Pursuant to the Intellia Agreement, Intellia granted to the Company an exclusive, worldwide, sublicensable in multiple tiers, royalty bearing license under certain of Intellia’s intellectual property to research, develop, sell and otherwise exploit the CRISPR Product. The Company is performing the majority of the work under the collaboration plan.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consideration for the licenses granted to the Company pursuant to the Intellia Agreement, the Company issued to Intellia 3,739,515 shares of its Series B Preferred Stock at a price of $1.8719 per share, which was the price paid by other investors in the Company’s Series B Preferred Stock financing, for consideration of $7.0 million. Intellia also purchased 1,602,649 shares of Series B Preferred Stock at a price of $1.8719 per share under the Series B Preferred Stock Purchase Agreement in cash for total proceeds to the Company of $3.0 million. The Company is also obligated to make aggregate milestone payments to Intellia of up to $64.5 million upon the achievement of specified development and regulatory milestones and is obligated to pay to Intellia low to mid 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spacing w:after="0" w:line="188"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Under the Intellia Agreement, Intellia owns rights, title and interests in and to any intellectual property developed in the course of performance under the Intellia Agreement that is not specifically directed to the CRISPR Product. The Company granted to Intellia certain non-exclusive, royalty-free, fully paid-up, worldwide licenses under the Company’s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spacing w:after="0" w:line="18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In addition, the Company granted Intellia an exclusive option (the “Intellia Option”) to enter into a co-development and co-commercialization agreement with the Company for the CRISPR Product, (the “Co-Co Agreement”) for a fee payable to the Company. If Intellia exercises the Intellia Option, the Company and Intellia would share equally the regulatory and clinical development expenses associated with obtaining approval of the CRISPR Product in the U.S. and would also share equally all net profits and losses from commercialization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CRISPR Product in the U.S. If Intellia exercises the Intellia Option, no milestone payments will be due and payable from that time forward and the Company will only pay royalties on sales outside of the U.S. In addition, upon exercise of the Intellia Option, following regulatory approval of the CRISPR Product, Intellia will have exclusive commercialization rights for the CRISPR Product for U.S. administration, subject to the Company’s rights to co-promote the CRISPR Product in the U.S., and the Company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the Company participates in legal action or proceeding challenging the validity or enforceability of Intellia’s patents, or by the execution of the Co-Co Agreement. The Company may terminate the Intellia Agreement in its entirety, or on a country-by-country basis, by providing a written notice after the expiration or termination of the Intellia Option. Following the expiration of the term for a given country, the licenses granted to the Company in such country will automatically become fully paid-up, perpetual, irrevocable and royalty-free licenses.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milestone payments were probable or payable as of December 31, 2022 and September 30,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Agreements with the National Institutes of Health</w:t>
      </w:r>
    </w:p>
    <w:p>
      <w:pPr>
        <w:spacing w:after="0" w:line="121" w:lineRule="exact"/>
        <w:rPr>
          <w:sz w:val="20"/>
          <w:szCs w:val="20"/>
          <w:color w:val="auto"/>
        </w:rPr>
      </w:pPr>
    </w:p>
    <w:p>
      <w:pPr>
        <w:ind w:left="120" w:right="600" w:firstLine="440"/>
        <w:spacing w:after="0" w:line="281" w:lineRule="auto"/>
        <w:rPr>
          <w:sz w:val="20"/>
          <w:szCs w:val="20"/>
          <w:color w:val="auto"/>
        </w:rPr>
      </w:pPr>
      <w:r>
        <w:rPr>
          <w:rFonts w:ascii="Times New Roman" w:cs="Times New Roman" w:eastAsia="Times New Roman" w:hAnsi="Times New Roman"/>
          <w:sz w:val="17"/>
          <w:szCs w:val="17"/>
          <w:color w:val="auto"/>
        </w:rPr>
        <w:t>In May 2021, the Company entered into two patent license agreements (the “NIH Agreements”) with the National Institutes of Health (the “NIH”), pursuant to which the Company obtained exclusive, worldwide licenses to certain patents to use an anti-CD19 CAR in the Company’s autologous and allogeneic CAR T-cell products for the treatment of patients with autoimmune disease. Upfront consideration of $3.3 million for acquired licenses, was paid 50% in July 2021 and the remaining 50% in May 2022 in accordance with the terms of the NIH Agreements.</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NIH Agreements, commencing in January 2023 and subsequently on January 1 of each calendar year thereafter, the Company is also required to make minimum annual royalty payments of $0.2 million, which shall be credited against any earned royalties due based on a low single-digit percentage of net sales made in a respective year. In addition, benchmark royalties following completion of certain regulatory- and clinical-related benchmarks are due to the NIH, with the minimum cumulative royalty due for a product reaching FDA approval or foreign-equivalent approval totaling approximately $5.7 million for the autologous patent license agreement and approximately $1.7 million for the allogeneic patent license agreement. Additional benchmark royalties would be payable for a subsequent indication under each NIH Agreement. If the Company enters into a sublicensing agreement, it will be required to pay the NIH a sublicense royalty payment as a percentage of the fair market value of any consideration received for each sublicense granted. The sublicensing percentage starts at a high teens to low twenties percentage if clinical trials for the product have not yet begun and decreases to a mid-single- digit percentage if the product has received FDA approval or foreign-equivalent approval.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Unless terminated sooner, the NIH Agreements remain in effect until the last licensed patent right granted pursuant to the respective agreement expires.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acquisition of the licenses, including patent rights and know-how, was accounted for as an asset acquisition. As the acquired technology did not have an alternative use for accounting purposes, the consideration of $3.3 million was recorded as research and development expense in the statements of operations and comprehensive loss for the year ended December 31, 2021. No benchmark royalties were probable or payable as of December 31, 2022 and September 30, 2023.</w:t>
      </w:r>
    </w:p>
    <w:p>
      <w:pPr>
        <w:spacing w:after="0" w:line="284" w:lineRule="exact"/>
        <w:rPr>
          <w:sz w:val="20"/>
          <w:szCs w:val="20"/>
          <w:color w:val="auto"/>
        </w:rPr>
      </w:pPr>
    </w:p>
    <w:p>
      <w:pPr>
        <w:ind w:left="120" w:right="7800" w:hanging="4"/>
        <w:spacing w:after="0" w:line="377" w:lineRule="auto"/>
        <w:tabs>
          <w:tab w:leader="none" w:pos="300" w:val="left"/>
        </w:tabs>
        <w:numPr>
          <w:ilvl w:val="0"/>
          <w:numId w:val="1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Contingent Liabilities License Agreements</w:t>
      </w:r>
    </w:p>
    <w:p>
      <w:pPr>
        <w:spacing w:after="0" w:line="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entered into license agreements with the NIH, Intellia and Kite in fiscal years 2020 and 2021 (see Note 6), pursuant to which the Company is required to pay certain milestone payments contingent upon the achievement of specific development and regulatory events. No such milestones were achieved or probable as of December 31, 2022 and September 30, 2023. The Company is required to pay royalties on sales of products developed under these agreements. The Company’s product candidates were in clinical trials or the pre-clinical stage of development as of December 31, 2022 and September 30, 2023, and no such royalties were due.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is required to determine both probability and the estimated amount. Management is not aware of any legal matters that could have a material adverse effect on the Company’s financial position, results of operations or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2022 and September 30, 2023, the Company does not have any material indemnification claims that were probable or reasonably possible.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July 2020, the Company entered into a five-year operating lease agreement for a 17,628 square feet facility in Emeryville, California, which lease term commenced in October 2020. In November 2021, the agreement was amended to extend the lease term for an additional 15 months through January 2027. The amended agreement also provides for an additional 15,736 square feet of space (the “Expansion Space”) and includes an option to extend the lease for an additional 36 months. The Company obtained 9,512 square feet of the Expansion Space in January 2022 and the remaining 6,224 square feet in September 2022.</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has multiple leases for laboratory equipment with terms of 36 months that are accounted for as finance leases. Some of the Company’s office and lab space were leased under short-term lease agreements during the nine months ended September 30, 2022 and September 30, 2023.</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Components of the lease expense for the nine months ended September 30, 2022 and 2023, were as follows (in thousands):</w:t>
      </w:r>
    </w:p>
    <w:p>
      <w:pPr>
        <w:spacing w:after="0" w:line="24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5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 . . . . . . . . . . . . . . . . . . . . . . . . . . . . .Operatingleasecost</w:t>
            </w:r>
          </w:p>
        </w:tc>
        <w:tc>
          <w:tcPr>
            <w:tcW w:w="1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$1,477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$1,820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 . . . . . . . . . . . . . . ..</w:t>
            </w:r>
          </w:p>
        </w:tc>
        <w:tc>
          <w:tcPr>
            <w:tcW w:w="2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 . . . . . . . . . . . . . . . . . . . . . .</w:t>
            </w:r>
          </w:p>
        </w:tc>
        <w:tc>
          <w:tcPr>
            <w:tcW w:w="2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 . . . . . . . . . . . . . . . . . . . . . . . . . . . . . ..</w:t>
            </w:r>
          </w:p>
        </w:tc>
        <w:tc>
          <w:tcPr>
            <w:tcW w:w="2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 . . . . . . . . . . . . . . . . . . . . . . . . . . . . . . . ..</w:t>
            </w:r>
          </w:p>
        </w:tc>
        <w:tc>
          <w:tcPr>
            <w:tcW w:w="1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r>
      <w:tr>
        <w:trPr>
          <w:trHeight w:val="27"/>
        </w:trPr>
        <w:tc>
          <w:tcPr>
            <w:tcW w:w="5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 . . . . . . . . . . . . . . . . . . . . . . . . . . . . . . .</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2,307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3,298</w:t>
            </w:r>
          </w:p>
        </w:tc>
      </w:tr>
      <w:tr>
        <w:trPr>
          <w:trHeight w:val="20"/>
        </w:trPr>
        <w:tc>
          <w:tcPr>
            <w:tcW w:w="5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for the nine months ended September 30, 2022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178"/>
        </w:trPr>
        <w:tc>
          <w:tcPr>
            <w:tcW w:w="54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1,244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1,769</w:t>
            </w: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upon inception of lease (noncash):</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4,454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1,570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854</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schedule by year of future payments of the Company’s lease liabilities as of September 30,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20" w:type="dxa"/>
            <w:vAlign w:val="bottom"/>
          </w:tcPr>
          <w:p>
            <w:pPr>
              <w:spacing w:after="0"/>
              <w:rPr>
                <w:sz w:val="15"/>
                <w:szCs w:val="15"/>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2,507</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2,821</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(1,135)</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(1,899)</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and discount rate related to the Company’s operating lease liabilities as of September 30, 2023, were 3.3 years and 8%, respectively. The weighted-average remaining lease term and discount rate related to the Company’s finance lease liabilities as of September 30, 2023, were 2.2 years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00"/>
          </w:cols>
          <w:pgMar w:left="320" w:top="455" w:right="5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and 11%, respectively. The discount rates were based on the Company’s estimate of its incremental borrowing rate, as the discount rates implicit in the leases could not be readily determined. As the Company does not have any outstanding debt, the Company estimated the incremental borrowing rate based on its estimated credit rating and available market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and September 30, 2023, the Company’s certificate of incorporation authorized the Company to issue up to 97,462,067 and 114,556,997 shares of redeemable convertible preferred stock, respectively, at a par value of $0.00001 per share.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January 2022, the Company amended its Series B Preferred Stock Purchase Agreement and issued additional 6,410,597 shares of Series B redeemable convertible preferred stock (“Series B Preferred Stock”) to new investors for an aggregate cash consideration of $12.0 million at a purchase price of $1.8719 per share. Issuance costs were less than $0.1 million, which were recorded as a reduction to the proceeds received.</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June 2023 and July 2023, the Company amended its Series B Preferred Stock Purchase Agreement and issued additional 32,052,994 shares of Series B Preferred Stock to existing and new investors for an aggregate cash consideration of $60.0 million at a price per share of $1.8719, net of $0.1 million issuance costs.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Redeemable convertible preferred stock as of December 31, 2022 and September 30, 2023, consisted of the following (in thousands, except shares and per share data):</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13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0"/>
                <w:szCs w:val="10"/>
                <w:color w:val="auto"/>
              </w:rPr>
            </w:pPr>
          </w:p>
        </w:tc>
        <w:tc>
          <w:tcPr>
            <w:tcW w:w="10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20" w:type="dxa"/>
            <w:vAlign w:val="bottom"/>
          </w:tcPr>
          <w:p>
            <w:pPr>
              <w:spacing w:after="0"/>
              <w:rPr>
                <w:sz w:val="10"/>
                <w:szCs w:val="10"/>
                <w:color w:val="auto"/>
              </w:rPr>
            </w:pPr>
          </w:p>
        </w:tc>
        <w:tc>
          <w:tcPr>
            <w:tcW w:w="68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stock</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8,803,542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8,803,542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Series A-2 redeemable convertible preferred stock</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24,552,546</w:t>
            </w: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24,552,546</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21,547</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21,490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64,105,979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49,147,915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91,488</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97,462,067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82,504,003</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3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13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0"/>
                <w:szCs w:val="10"/>
                <w:color w:val="auto"/>
              </w:rPr>
            </w:pPr>
          </w:p>
        </w:tc>
        <w:tc>
          <w:tcPr>
            <w:tcW w:w="10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20" w:type="dxa"/>
            <w:vAlign w:val="bottom"/>
          </w:tcPr>
          <w:p>
            <w:pPr>
              <w:spacing w:after="0"/>
              <w:rPr>
                <w:sz w:val="10"/>
                <w:szCs w:val="10"/>
                <w:color w:val="auto"/>
              </w:rPr>
            </w:pPr>
          </w:p>
        </w:tc>
        <w:tc>
          <w:tcPr>
            <w:tcW w:w="68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stock</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8,803,542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8,803,542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Series A-2 redeemable convertible preferred stock</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24,552,546</w:t>
            </w: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24,552,546</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21,547</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21,490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81,200,909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81,200,909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151,388</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114,556,997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114,556,997</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181,273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holders of the Company’s Series A-1 redeemable convertible preferred stock (“Series A-1 Preferred Stock”), Series A-2 redeemable</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convertible preferred stock (“Series A-2 Preferred Stock”) and Series B Preferred Stock have various rights and preferences, including the following:</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whether voluntary or involuntary, or any other deemed liquidation event, before any distribution or payment made to the holders of any common stock of the Company (the “Common Stock”), Series A-1 Preferred Stock or A-2 Preferred Stock, the holders of Series B Preferred Stock are entitled to be paid out of the proceeds or assets of the Company an amount equal to the greater of (i) the original issue price of $1.8719 per share, plus any declared and unpaid dividends on each such</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share, or (ii) such amount per share as would have been payable had all shares of Series B Preferred Stock been converted into Common Stock prior to such liquidation. If, upon any such liquidation event, the assets of the Company are insufficient to make payment of the liquidation preference in full to all holders of Series B Preferred Stock, such assets will be distributed among the holders of Series B Preferred Stock ratably in proportion to the full preferential amount that each such holder is entitled to receive.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payment of the full liquidation preference of the holders of Series B Preferred Stock, the holders of Series A-1 Preferred Stock and A-2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Preferred Stock are entitled to be paid out of the proceeds or assets of the Company an amount equal to the greater of (i) the original issue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$0.8776 per share, plus any declared and unpaid dividends on each such share, or (ii) such amount per share as would have been payable had all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Series A-1 Preferred Stock and A-2 Preferred Stock been converted into Common Stock prior to such liquidation. If, upon any such liquidation event,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payment of the full liquidation preference of Series B Preferred Stock, the assets of the Company are insufficient to make payment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liquidation preference in full to all holders of Series A-1 Preferred Stock and A-2 Preferred Stock, such assets will be distributed among the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Series A-1 Preferred Stock and A-2 Preferred Stock ratably in proportion to the full amount that each such holder is entitled to receive.</w:t>
      </w:r>
    </w:p>
    <w:p>
      <w:pPr>
        <w:spacing w:after="0" w:line="20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After the payment of the full liquidation preference of the redeemable convertible preferred stock, the remaining assets of the Company legally available for distribution, if any, will be distributed ratably to the holders of Common Stock.</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Shares of redeemable convertible preferred stock are convertible into Common Stock at the option of the holder at a conversion ratio that equals to the original issue price for such series, adjusted for any anti-dilution adjustments, divided by the conversion price for such series, in effect on the date of the conversion. The conversion price as adjusted for the reverse stock split is $3.9941 per share for both the Series A-1 Preferred Stock and the Series A-2 Preferred Stock and $8.5193 per share for the Series B Preferred Stock.</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share of redeemable convertible preferred stock is automatically convertible into shares of Common Stock at the then-effective conversion ratio immediately upon (i) the vote or written consent of the holders of at least 60% of the outstanding shares of redeemable convertible preferred stock, or (ii) the closing of a firm- commitment underwritten public offering with gross proceeds to the Company of at least $50.0 million and a public offering price which is at least $10.65 per share, adjusted for any anti-dilution adjustments.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holders of Series A-1 Preferred Stock, Series A-2 Preferred Stock and Series B Preferred Stock are entitled to receive cash dividends at a rate of 8% per annum when and if declared by the board of directors of the Company (the “Board of Directors”). These dividends shall be non-cumulative and be paid prior and in preference to the holders of Common Stock.</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After payment of dividends to the holders of redeemable convertible preferred stock, any additional dividends shall be distributed among all holders of Common Stock and redeemable convertible preferred stock ratably (on an as-if-converted to Common Stock basis). No dividends have been declared or paid to date.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holder of redeemable convertible preferred stock is entitled to the number of votes equal to the number of shares of Common Stock into which such shares of Preferred Stock held by such holder could then be converted. The holders of redeemable convertible preferred stock vote together with the holders of Common Stock as a single class and on an as-converted to Common Stock basis.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as long as at least 4,000,000 shares of the Series A-1 Preferred Stock remain outstanding, the holders of the Series A-1 Preferred Stock, voting as a separate class, are entitled to elect two members of the Board of Directors. For as long as at least 4,000,000 shares of the Series A-2 Preferred Stock remain outstanding, the holders of the Series A-2 Preferred Stock, voting as a separate class, are entitled to elect one member of the Board of Directors. For as long as at least 10,000,000 shares of the Series B Preferred Stock remain outstanding, the holders of the Series B Preferred Stock, voting as a separate class, are entitled to elect one member of the Board of Directors. The remaining members of the Board of Directors are elected by the holders of redeemable convertible preferred stock and Common Stock, voting together as a single class on an as-converted basis.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redeemable convertible preferred stock is recorded in mezzanine equity because while it is not mandatorily redeemable, it will become redeemable at the option of the holders of the redeemable convertible preferred stock upon the occurrence of certain deemed liquidation events that are considered not solely within the Company’s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As of September 30, 2023, the Company was authorized to issue 133,492,016 shares of Common Stock at a par value of $0.00001 per share. As of September 30, 2023, there were 1,151,260 shares of Common Stock legally issued and outstanding, including 381,822 shares subject to repurchase due to remaining vesting requirements. The holders of Common Stock are entitled to dividends as declared by the Board of Directors, subject to the rights of holders of all classes of stock outstanding having priority rights as to dividends. The holder of each share of common stock is entitled to one vote.</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and September 30, 2023, Common Stock reserved for future issuance was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8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as converted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18,128,357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25,171,265</w:t>
            </w:r>
          </w:p>
        </w:tc>
        <w:tc>
          <w:tcPr>
            <w:tcW w:w="60" w:type="dxa"/>
            <w:vAlign w:val="bottom"/>
            <w:shd w:val="clear" w:color="auto" w:fill="CCEEFF"/>
          </w:tcPr>
          <w:p>
            <w:pPr>
              <w:spacing w:after="0"/>
              <w:rPr>
                <w:sz w:val="18"/>
                <w:szCs w:val="18"/>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Outstanding stock option awards (349,321 shares issued in connection with</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early exercised options for a non-recourse promissory note are</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excluded from shares reserved for issuance)</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2,338,346</w:t>
            </w:r>
          </w:p>
        </w:tc>
        <w:tc>
          <w:tcPr>
            <w:tcW w:w="3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2,338,555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options grants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22,394</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670,633</w:t>
            </w:r>
          </w:p>
        </w:tc>
      </w:tr>
      <w:tr>
        <w:trPr>
          <w:trHeight w:val="223"/>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20,489,097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28,180,453</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Issued to a Founder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2018, the Company issued 120,849 shares of Common Stock to a founder of the Company at a purchase price of $0.02 per share. The price was based on an estimate of the fair value of the Common Stock on the grant date. Shares vest monthly over a four-year period starting in May 2019. The Company has the right to repurchase unvested shares at the purchase price if the founder’s services to the Company are terminated. All shares were vested during the year ended December 31, 2022, and there are no unvested shares as of December 31, 2022 and September 30,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Options for a Promissory Note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December 2022, the Company’s chief executive officer (the “CEO”), a related party, early exercised options for 349,321 shares of Common Stock in exchange for a partial recourse promissory note receivable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principal amount of $1.1 million. The note bears interest of 4.27% per annum and is due in December 2027. For accounting purposes, the promissory note was determined to be non-recourse and, as such, the issuance of the promissory note and subsequent early exercise of stock options are considered non-substantive and will not be recorded in the financial statements until the promissory note is repaid. The issuance of the promissory note modified the terms of the related stock options. The modification did not result in additional compensation expense and the Company continues to recognize stock-based compensation expense for these exercised stock options based on their original grant-date fair value. While the issued shares are not considered outstanding for accounting purposes, they are legally issued and have voting and dividends rights. The shares are included in common stock on the statement of redeemable convertible preferred stock and stockholders’ deficit as of December 31, 2022 and September 30, 2023, and are not included in the calculation of net loss per share attributable to common stockholders for the nine months ended September 30, 2022 and 2023.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 Option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2019, the Company adopted the 2019 Stock Plan (the “2019 Plan”), which provides for stock awards to employees, directors and consultants of the Company. Awards issuable under the 2019 Plan include incentive stock options (“ISO”), non-statutory stock options (“NSO”), restricted stock units, stock grants and stock purchase awards. As of September 30, 2023, only ISOs and NSOs had been granted under the 2019 Plan. As of September 30, 2023, 4,039,686 shares of Common Stock have been authorized for issuance and 670,633 shares are available for future grant under the 2019 Plan.</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Options to purchase Common Stock may be granted at a price not less than the fair market value as established by the Board of Directors in the case of both NSOs and ISOs. Stock option grants under the 2019 Plan generally vest over four years. All options expire no later than ten years from the date of grant. The exercise price of ISOs granted to an employee who owns more than 10% of the voting power of all classes of stock of the Company shall be no less than 110% of the estimated fair market value of the underlying Common Stock on the grant date, and the contractual term is no longer than five years.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option activity under the 2019 Plan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6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5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Term (in</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5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4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 *</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2,687,667</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3.33</w:t>
            </w:r>
          </w:p>
        </w:tc>
        <w:tc>
          <w:tcPr>
            <w:tcW w:w="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337,331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3.91</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(143,723)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2.58</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(193,399)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2.67</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5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2,687,876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3.49</w:t>
            </w: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2023 **</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2,080,148</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3.39</w:t>
            </w:r>
          </w:p>
        </w:tc>
        <w:tc>
          <w:tcPr>
            <w:tcW w:w="7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2023</w:t>
            </w:r>
          </w:p>
        </w:tc>
        <w:tc>
          <w:tcPr>
            <w:tcW w:w="15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2,687,876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3.49</w:t>
            </w: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349,321 shares of Common Stock issued in connection with the early exercised options for a non-recourse promissory note, which are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considered substantive for accounting purposes (see Note 9)</w:t>
      </w:r>
    </w:p>
    <w:p>
      <w:pPr>
        <w:spacing w:after="0" w:line="9" w:lineRule="exact"/>
        <w:rPr>
          <w:sz w:val="20"/>
          <w:szCs w:val="20"/>
          <w:color w:val="auto"/>
        </w:rPr>
      </w:pPr>
    </w:p>
    <w:p>
      <w:pPr>
        <w:ind w:left="540" w:hanging="424"/>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1,672,982 shares of unvested stock options for which a holder has the right to early exercise such option as of September 30, 2023</w:t>
      </w:r>
    </w:p>
    <w:p>
      <w:pPr>
        <w:spacing w:after="0" w:line="20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fair value of the underlying Common Stock and the exercise price. The weighted-average grant date fair value of options granted for the nine months ended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September 30, 2023 was $3.01. As of September 30, 2023, total unrecognized stock-based compensation expense was $5.2 million, which is expected to be recognized over a weighted average period of 2.9 years. The intrinsic value of options exercised during the nine months ended September 30, 2022 and 2023 was $0.1 million and $0.2 million, respectively, and is calculated based on the difference between the exercise price and the fair value of Common Stock as of the exercise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Options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employees received stock options that allow for exercise of the stock option prior to vesting. The shares of Common Stock issued upon an early exercise that have not yet vested are subject to repurchase by the Company in the event of termination of the holder’s continuous status as a service provider, at the price paid by the holder.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Proceeds from the early exercise of stock options are recorded as repurchase liability in other current liabilities, and as shares vest, they are recognized as additional paid-in capital in the balance sheets. Shares purchased by employees pursuant to the early exercise of stock options are not deemed, for accounting purposes, to be issued until those shares vest according to their respective vesting schedules, and the Company recognizes stock-based compensation expense related to these options as they continue to vest. As of September 30, 2023, there was less than $0.1 million repurchase liability related to the unvested shares. As of September 30, 2023, 32,501 common stock shares remained subject to the right of repurchase as a result of the early exercise of stock options and are included in common shares outstanding. Early exercises as of December 31, 2022 and September 30, 2023 exclude 349,321 shares of Common Stock issued in connection with the early exercised options for a non-recourse promissory note, which are not considered substantive for accounting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Black-Scholes option pricing model, used to estimate fair value of stock-based awards, requires the use of the following assumptions:</w:t>
      </w:r>
    </w:p>
    <w:p>
      <w:pPr>
        <w:spacing w:after="0" w:line="129" w:lineRule="exact"/>
        <w:rPr>
          <w:sz w:val="20"/>
          <w:szCs w:val="20"/>
          <w:color w:val="auto"/>
        </w:rPr>
      </w:pPr>
    </w:p>
    <w:p>
      <w:pPr>
        <w:ind w:left="1080" w:right="20" w:hanging="424"/>
        <w:spacing w:after="0" w:line="261"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market value of Common Stock is determined by the Board of Directors with assistance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management and external valuation experts. The approach to estimating the fair market value of Common Stock is consistent with the methods outlined in the American Institute of Certified Public Accountants’ Accounting and Valuation Guide, </w:t>
      </w:r>
      <w:r>
        <w:rPr>
          <w:rFonts w:ascii="Times New Roman" w:cs="Times New Roman" w:eastAsia="Times New Roman" w:hAnsi="Times New Roman"/>
          <w:sz w:val="18"/>
          <w:szCs w:val="18"/>
          <w:i w:val="1"/>
          <w:iCs w:val="1"/>
          <w:color w:val="auto"/>
        </w:rPr>
        <w:t xml:space="preserve">Valuation of Privately-Held-Company Equity Securities Issued as Compensation </w:t>
      </w:r>
      <w:r>
        <w:rPr>
          <w:rFonts w:ascii="Times New Roman" w:cs="Times New Roman" w:eastAsia="Times New Roman" w:hAnsi="Times New Roman"/>
          <w:sz w:val="18"/>
          <w:szCs w:val="18"/>
          <w:color w:val="auto"/>
        </w:rPr>
        <w:t>(the “Practice Aid”).</w:t>
      </w:r>
    </w:p>
    <w:p>
      <w:pPr>
        <w:spacing w:after="0" w:line="73" w:lineRule="exact"/>
        <w:rPr>
          <w:rFonts w:ascii="Times New Roman" w:cs="Times New Roman" w:eastAsia="Times New Roman" w:hAnsi="Times New Roman"/>
          <w:sz w:val="18"/>
          <w:szCs w:val="18"/>
          <w:color w:val="auto"/>
        </w:rPr>
      </w:pPr>
    </w:p>
    <w:p>
      <w:pPr>
        <w:ind w:left="1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Practice Aid, the Company determined the hybrid method was the most appropriate method for determining the fair value of the Common Stock based on the Company’s stage of development and other relevant factors. The hybrid method is a probability-weighted expected return method (“PWERM”), where the equity value in one or more scenarios is calculated using an option pricing model (“OPM”). The Company determined this was the most appropriate method for determining the fair value of the Common Stock based on the Company’s stage of development and other relevant factors. The PWERM is a scenario-based analysis that estimates the value per share of the Common Stock based on the probability-weighted present value of expected future equity values for the Common Stock, under various possible future liquidity event scenarios, considering the rights and preferences of each class of shares, and discounted for a lack of marketability. Under the hybrid method, an OPM was utilized to determine the fair value of the Common Stock in certain of the PWERM scenarios (capturing situations where the Company’s development path and future liquidity events were difficult to forecast), and potential exit events were explicitly modeled in the other PWERM scenarios. A discount for lack of marketability was applied to the value derived under each scenario to account for a lack of access to an active public market to estimate the Common Stock fair value.</w:t>
      </w:r>
    </w:p>
    <w:p>
      <w:pPr>
        <w:spacing w:after="0" w:line="93"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options granted represents the period of time that the options are expected to be outstanding.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lack of historical exercise history, the expected term of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0"/>
        <w:spacing w:after="0" w:line="282" w:lineRule="auto"/>
        <w:rPr>
          <w:sz w:val="20"/>
          <w:szCs w:val="20"/>
          <w:color w:val="auto"/>
        </w:rPr>
      </w:pPr>
      <w:r>
        <w:rPr>
          <w:rFonts w:ascii="Times New Roman" w:cs="Times New Roman" w:eastAsia="Times New Roman" w:hAnsi="Times New Roman"/>
          <w:sz w:val="18"/>
          <w:szCs w:val="18"/>
          <w:color w:val="auto"/>
        </w:rPr>
        <w:t>Company’s employee stock options has been determined by calculating the midpoint of the contractual term of the options and the weighted-average vesting period. Grants to nonemployees are based on the contractual term.</w:t>
      </w:r>
    </w:p>
    <w:p>
      <w:pPr>
        <w:spacing w:after="0" w:line="65" w:lineRule="exact"/>
        <w:rPr>
          <w:sz w:val="20"/>
          <w:szCs w:val="20"/>
          <w:color w:val="auto"/>
        </w:rPr>
      </w:pPr>
    </w:p>
    <w:p>
      <w:pPr>
        <w:ind w:left="1080" w:right="60" w:hanging="424"/>
        <w:spacing w:after="0" w:line="267"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assumption was determined by examining the historical volatilities for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peers, as the Company did not have any trading history for the Common Stock. The Company will continue to analyze the historical stock price volatility and expected term assumption as more historical data for the Common Stock becomes available.</w:t>
      </w:r>
    </w:p>
    <w:p>
      <w:pPr>
        <w:spacing w:after="0" w:line="78"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assumption is based on the U.S. Treasury instrument whose term was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Company’s stock options.</w:t>
      </w:r>
    </w:p>
    <w:p>
      <w:pPr>
        <w:spacing w:after="0" w:line="63"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has not paid any cash dividends on Common Stock since inception and does not anticipate paying any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foreseeable future. Consequently, an expected dividend yield of zero was used.</w:t>
      </w:r>
    </w:p>
    <w:p>
      <w:pPr>
        <w:spacing w:after="0" w:line="16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to employees and nonemployees was estimated at the grant date using the following assumptions for the nine months ended September 30, 2022 and 2023, respectively:</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5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3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Employees</w:t>
            </w: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- 3.9%</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Non-Employees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- 94%</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- 95%</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8"/>
                <w:szCs w:val="18"/>
                <w:color w:val="auto"/>
              </w:rPr>
            </w:pPr>
          </w:p>
        </w:tc>
        <w:tc>
          <w:tcPr>
            <w:tcW w:w="12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80" w:type="dxa"/>
            <w:vAlign w:val="bottom"/>
            <w:shd w:val="clear" w:color="auto" w:fill="CCEEFF"/>
          </w:tcPr>
          <w:p>
            <w:pPr>
              <w:spacing w:after="0"/>
              <w:rPr>
                <w:sz w:val="18"/>
                <w:szCs w:val="18"/>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- 2.9%</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- 3.9%</w:t>
            </w:r>
          </w:p>
        </w:tc>
      </w:tr>
    </w:tbl>
    <w:p>
      <w:pPr>
        <w:spacing w:after="0" w:line="179"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expense related to stock options granted to employees and nonemployees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5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780" w:type="dxa"/>
            <w:vAlign w:val="bottom"/>
          </w:tcPr>
          <w:p>
            <w:pPr>
              <w:spacing w:after="0"/>
              <w:rPr>
                <w:sz w:val="15"/>
                <w:szCs w:val="15"/>
                <w:color w:val="auto"/>
              </w:rPr>
            </w:pPr>
          </w:p>
        </w:tc>
        <w:tc>
          <w:tcPr>
            <w:tcW w:w="15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7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 . . . . . . . . . . . . . .Researchanddevelopmentexpenses</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 . . . . . . . . . . . . . . . .</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r>
        <w:trPr>
          <w:trHeight w:val="27"/>
        </w:trPr>
        <w:tc>
          <w:tcPr>
            <w:tcW w:w="6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$ 592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1,436</w:t>
            </w:r>
          </w:p>
        </w:tc>
      </w:tr>
      <w:tr>
        <w:trPr>
          <w:trHeight w:val="20"/>
        </w:trPr>
        <w:tc>
          <w:tcPr>
            <w:tcW w:w="6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Defined Contribution plan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(the “401(k) Plan”), which stipulates that eligible employees can elect to contribute to the 401(k) Plan, subject to certain limitations of eligible compensation. The Company may match employee contributions in amounts to be determined at the Company’s sole discretion. The Company made no matching contributions during the nine months ended September 30, 2022 and 2023.</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00"/>
          </w:cols>
          <w:pgMar w:left="320" w:top="455"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Common Stockholders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p>
      <w:pPr>
        <w:spacing w:after="0" w:line="182"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60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(39,699)</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430,029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632,624</w:t>
            </w:r>
          </w:p>
        </w:tc>
      </w:tr>
      <w:tr>
        <w:trPr>
          <w:trHeight w:val="198"/>
        </w:trPr>
        <w:tc>
          <w:tcPr>
            <w:tcW w:w="60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(62.75)</w:t>
            </w:r>
          </w:p>
        </w:tc>
      </w:tr>
      <w:tr>
        <w:trPr>
          <w:trHeight w:val="20"/>
        </w:trPr>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3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60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as converted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18,128,357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25,171,265</w:t>
            </w:r>
          </w:p>
        </w:tc>
        <w:tc>
          <w:tcPr>
            <w:tcW w:w="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1,266,522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2,338,555</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130,005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32,501</w:t>
            </w: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Unvested early exercised common stock options exercised for non-recourse</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promissory note (Note 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349,321</w:t>
            </w:r>
          </w:p>
        </w:tc>
      </w:tr>
      <w:tr>
        <w:trPr>
          <w:trHeight w:val="27"/>
        </w:trPr>
        <w:tc>
          <w:tcPr>
            <w:tcW w:w="60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19,524,884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27,891,642</w:t>
            </w:r>
          </w:p>
        </w:tc>
      </w:tr>
      <w:tr>
        <w:trPr>
          <w:trHeight w:val="20"/>
        </w:trPr>
        <w:tc>
          <w:tcPr>
            <w:tcW w:w="6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and 2023, the Company did not record an income tax provision. The Company continues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for financial statement purposes occurring through February 6, 2024, the date when these unaudited condensed financial statements are available to be issued. No subsequent events have been identified for disclosure to or adjustment in the unaudited condensed financial statements, other than the matters noted below.</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 of Gilead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October 24, 2023, after agreement by both parties that the Gilead Agreement had no active programs, Gilead provided the Company with 90 days’ written notice to terminate the Gilead Agreement, and such termination became effective as of January 22, 2024.</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5"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Increase in Authorized Shares of Common Stock and Amendment to 2019 Plan</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November 6, 2023, the Company increased its authorized Common Stock from 133,492,016 shares to 140,492,016 shares, and increased the aggregate number of shares authorized for issuance as equity awards under the 2019 Plan from 4,039,682 shares of Common Stock to 5,577,776 shares of Common Stock.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Option Grants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October, November and December 2023, the Company granted options to purchase an aggregate of 1,762,161 shares of Common Stock, with a range of exercise prices from $4.82 to $6.83 per share. Options have vesting terms of four years from the vesting start date and one-year cliff vesting. The amount of stock-based compensation expense that the Company expects to recognize for these options is estimated in a range from $8.0 million to $10.0 million, subject to finalization of the Company’s Common Stock valuation.</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On January 24, 2024, the Board of Directors approved the grant of 140,488 stock options under the 2024 Plan (as defined below) to be granted contingent and effective upon the date on which the Company’s registration statement for its initial public offering of Common Stock (the “IPO”) is declared effective by the SEC, with an exercise price equal to the initial public offering price per share in the IPO. Options have vesting terms of four years from the vesting start date and one-year cliff vesting.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On January 12, 2024, the Company and the CEO entered into a note forgiveness letter, pursuant to which the promissory note and all accrued interest thereon in an aggregate amount of $1.1 million were forgiven. The promissory note was issued by the CEO in December 2022 in connection with early exercised options (refer to Note 9).</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24, 2024, the Board of Directors approved, and on January 30, 2024, the Company effected, a reverse stock split of the shares of the Company’s outstanding Common Stock at a ratio of 1-for-4.5511 (the “Reverse Stock Split”). The number of authorized shares and par value per share were not adjusted as a result of the Reverse Stock Split. All references to shares, options to purchase Common Stock, share data, per share data, and related information contained in the financial statements have been retrospectively adjusted to reflect the effect of the Reverse Stock Split for all periods presented.</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will automatically convert into shares of Common Stock upon the closing of the IPO, were proportionally adjusted. As a result of the Reverse Stock Split, the conversion price for both the Series A-1 Preferred Stock and the Series A-2 Preferred Stock is now equal to $3.9941 and for the Series B Preferred Stock is now equal to $8.5193. Stockholders entitled to fractional shares as a result of the Reverse Stock Split will receive a cash payment in lieu of receiving fractional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and Restatement of the Certificate of Incorporation; Adoption of 2024 Equity Incentive Plan and 2024 Employee Stock Purchase Plan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24, 2024, the Board adopted, and on January 30, 2024, the Company’s stockholders approved, an amendment and restatement of the Company’s certificate of incorporation to be in effect immediately prior to the closing of the IPO, and the 2024 Equity Incentive Plan (“2024 Plan”) and 2024 Employee Stock Purchase Plan (“ESPP”). The amended and restated certificate of incorporation will provide for an increase in the authorized number of shares to 490,000,000 shares of common stock and 10,000,000 shares of preferred stock. The 2024 Plan and the ESPP will each become effective on the date immediately preceding the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80"/>
          </w:cols>
          <w:pgMar w:left="320" w:top="455" w:right="4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date upon which the Company’s registration statement for the IPO is declared effective by the SEC. 4,215,000 shares and 422,000 shares have been reserved for initial issuance under the 2024 Plan and the ESPP, respectively, which will increase as defined in the plans. The 2024 Plan is a successor to the 2019 Plan. Once the 2024 Plan becomes effective, no further grants will be made under the 2019 Plan.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40"/>
          </w:cols>
          <w:pgMar w:left="320" w:top="455" w:right="5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14,500,000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180975</wp:posOffset>
            </wp:positionV>
            <wp:extent cx="1577340" cy="4286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773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1681480</wp:posOffset>
            </wp:positionV>
            <wp:extent cx="1474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0"/>
        <w:spacing w:after="0"/>
        <w:tabs>
          <w:tab w:leader="none" w:pos="3680" w:val="left"/>
          <w:tab w:leader="none" w:pos="6360" w:val="left"/>
          <w:tab w:leader="none" w:pos="8880" w:val="left"/>
        </w:tabs>
        <w:rPr>
          <w:sz w:val="20"/>
          <w:szCs w:val="20"/>
          <w:color w:val="auto"/>
        </w:rPr>
      </w:pPr>
      <w:r>
        <w:rPr>
          <w:rFonts w:ascii="Times New Roman" w:cs="Times New Roman" w:eastAsia="Times New Roman" w:hAnsi="Times New Roman"/>
          <w:sz w:val="22"/>
          <w:szCs w:val="22"/>
          <w:b w:val="1"/>
          <w:bCs w:val="1"/>
          <w:color w:val="auto"/>
        </w:rPr>
        <w:t>J.P. Morgan</w:t>
      </w:r>
      <w:r>
        <w:rPr>
          <w:sz w:val="20"/>
          <w:szCs w:val="20"/>
          <w:color w:val="auto"/>
        </w:rPr>
        <w:tab/>
      </w:r>
      <w:r>
        <w:rPr>
          <w:rFonts w:ascii="Times New Roman" w:cs="Times New Roman" w:eastAsia="Times New Roman" w:hAnsi="Times New Roman"/>
          <w:sz w:val="22"/>
          <w:szCs w:val="22"/>
          <w:b w:val="1"/>
          <w:bCs w:val="1"/>
          <w:color w:val="auto"/>
        </w:rPr>
        <w:t>Morgan Stanley</w:t>
      </w:r>
      <w:r>
        <w:rPr>
          <w:sz w:val="20"/>
          <w:szCs w:val="20"/>
          <w:color w:val="auto"/>
        </w:rPr>
        <w:tab/>
      </w:r>
      <w:r>
        <w:rPr>
          <w:rFonts w:ascii="Times New Roman" w:cs="Times New Roman" w:eastAsia="Times New Roman" w:hAnsi="Times New Roman"/>
          <w:sz w:val="22"/>
          <w:szCs w:val="22"/>
          <w:b w:val="1"/>
          <w:bCs w:val="1"/>
          <w:color w:val="auto"/>
        </w:rPr>
        <w:t>Leerink Partners</w:t>
      </w:r>
      <w:r>
        <w:rPr>
          <w:sz w:val="20"/>
          <w:szCs w:val="20"/>
          <w:color w:val="auto"/>
        </w:rPr>
        <w:tab/>
      </w:r>
      <w:r>
        <w:rPr>
          <w:rFonts w:ascii="Times New Roman" w:cs="Times New Roman" w:eastAsia="Times New Roman" w:hAnsi="Times New Roman"/>
          <w:sz w:val="21"/>
          <w:szCs w:val="21"/>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February 7, 2024</w:t>
      </w:r>
    </w:p>
    <w:p>
      <w:pPr>
        <w:spacing w:after="0" w:line="221" w:lineRule="exact"/>
        <w:rPr>
          <w:sz w:val="20"/>
          <w:szCs w:val="20"/>
          <w:color w:val="auto"/>
        </w:rPr>
      </w:pPr>
    </w:p>
    <w:p>
      <w:pPr>
        <w:jc w:val="both"/>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March 3, 2024 (25 days after the date of this prospectus), all dealers effecting transactions in these securities, whether or not participating in this offering, may be required to deliver a prospectus. This in addition to a dealer’s obligation to deliver a prospectus when acting as an underwriter and with respect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396875</wp:posOffset>
            </wp:positionV>
            <wp:extent cx="69951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465455</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960"/>
      </w:cols>
      <w:pgMar w:left="320" w:top="45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1)"/>
      <w:numFmt w:val="decimal"/>
      <w:start w:val="510"/>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1)"/>
      <w:numFmt w:val="lowerRoman"/>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1)"/>
      <w:numFmt w:val="decimal"/>
      <w:start w:val="1"/>
    </w:lvl>
  </w:abstractNum>
  <w:abstractNum w:abstractNumId="12">
    <w:nsid w:val="1EBA5D23"/>
    <w:multiLevelType w:val="hybridMultilevel"/>
    <w:lvl w:ilvl="0">
      <w:lvlJc w:val="left"/>
      <w:lvlText w:val="(%1)"/>
      <w:numFmt w:val="decimal"/>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1)"/>
      <w:numFmt w:val="lowerRoman"/>
      <w:start w:val="3"/>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1)"/>
      <w:numFmt w:val="lowerRoman"/>
      <w:start w:val="5"/>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1)"/>
      <w:numFmt w:val="decimal"/>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1)"/>
      <w:numFmt w:val="lowerRoman"/>
      <w:start w:val="4"/>
    </w:lvl>
  </w:abstractNum>
  <w:abstractNum w:abstractNumId="60">
    <w:nsid w:val="50801EE1"/>
    <w:multiLevelType w:val="hybridMultilevel"/>
    <w:lvl w:ilvl="0">
      <w:lvlJc w:val="left"/>
      <w:lvlText w:val="(%1)"/>
      <w:numFmt w:val="lowerRoman"/>
      <w:start w:val="3"/>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1."/>
      <w:numFmt w:val="decimal"/>
      <w:start w:val="10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1)"/>
      <w:numFmt w:val="lowerRoman"/>
      <w:start w:val="1"/>
    </w:lvl>
  </w:abstractNum>
  <w:abstractNum w:abstractNumId="69">
    <w:nsid w:val="73A1821B"/>
    <w:multiLevelType w:val="hybridMultilevel"/>
    <w:lvl w:ilvl="0">
      <w:lvlJc w:val="left"/>
      <w:lvlText w:val="(%1)"/>
      <w:numFmt w:val="lowerRoman"/>
      <w:start w:val="4"/>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1)"/>
      <w:numFmt w:val="decimal"/>
      <w:start w:val="1"/>
    </w:lvl>
  </w:abstractNum>
  <w:abstractNum w:abstractNumId="74">
    <w:nsid w:val="6A3DD3E8"/>
    <w:multiLevelType w:val="hybridMultilevel"/>
    <w:lvl w:ilvl="0">
      <w:lvlJc w:val="left"/>
      <w:lvlText w:val="(%1)"/>
      <w:numFmt w:val="lowerRoman"/>
      <w:start w:val="3"/>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1)"/>
      <w:numFmt w:val="decimal"/>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1)"/>
      <w:numFmt w:val="decimal"/>
      <w:start w:val="1"/>
    </w:lvl>
  </w:abstractNum>
  <w:abstractNum w:abstractNumId="87">
    <w:nsid w:val="1CA0C5FA"/>
    <w:multiLevelType w:val="hybridMultilevel"/>
    <w:lvl w:ilvl="0">
      <w:lvlJc w:val="left"/>
      <w:lvlText w:val="(%1)"/>
      <w:numFmt w:val="lowerRoman"/>
      <w:start w:val="2"/>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1)"/>
      <w:numFmt w:val="decimal"/>
      <w:start w:val="2"/>
    </w:lvl>
  </w:abstractNum>
  <w:abstractNum w:abstractNumId="90">
    <w:nsid w:val="7C58FD05"/>
    <w:multiLevelType w:val="hybridMultilevel"/>
    <w:lvl w:ilvl="0">
      <w:lvlJc w:val="left"/>
      <w:lvlText w:val="(%1)"/>
      <w:numFmt w:val="lowerRoman"/>
      <w:start w:val="3"/>
    </w:lvl>
  </w:abstractNum>
  <w:abstractNum w:abstractNumId="91">
    <w:nsid w:val="23D86AAC"/>
    <w:multiLevelType w:val="hybridMultilevel"/>
    <w:lvl w:ilvl="0">
      <w:lvlJc w:val="left"/>
      <w:lvlText w:val="(%1)"/>
      <w:numFmt w:val="lowerRoman"/>
      <w:start w:val="1"/>
    </w:lvl>
  </w:abstractNum>
  <w:abstractNum w:abstractNumId="92">
    <w:nsid w:val="45E6D486"/>
    <w:multiLevelType w:val="hybridMultilevel"/>
    <w:lvl w:ilvl="0">
      <w:lvlJc w:val="left"/>
      <w:lvlText w:val="(%1)"/>
      <w:numFmt w:val="lowerRoman"/>
      <w:start w:val="4"/>
    </w:lvl>
  </w:abstractNum>
  <w:abstractNum w:abstractNumId="93">
    <w:nsid w:val="5C10FE21"/>
    <w:multiLevelType w:val="hybridMultilevel"/>
    <w:lvl w:ilvl="0">
      <w:lvlJc w:val="left"/>
      <w:lvlText w:val="•"/>
      <w:numFmt w:val="bullet"/>
      <w:start w:val="1"/>
    </w:lvl>
  </w:abstractNum>
  <w:abstractNum w:abstractNumId="94">
    <w:nsid w:val="E7FFA2B"/>
    <w:multiLevelType w:val="hybridMultilevel"/>
    <w:lvl w:ilvl="0">
      <w:lvlJc w:val="left"/>
      <w:lvlText w:val="•"/>
      <w:numFmt w:val="bullet"/>
      <w:start w:val="1"/>
    </w:lvl>
  </w:abstractNum>
  <w:abstractNum w:abstractNumId="95">
    <w:nsid w:val="3C5991AA"/>
    <w:multiLevelType w:val="hybridMultilevel"/>
    <w:lvl w:ilvl="0">
      <w:lvlJc w:val="left"/>
      <w:lvlText w:val="•"/>
      <w:numFmt w:val="bullet"/>
      <w:start w:val="1"/>
    </w:lvl>
  </w:abstractNum>
  <w:abstractNum w:abstractNumId="96">
    <w:nsid w:val="4BD8591A"/>
    <w:multiLevelType w:val="hybridMultilevel"/>
    <w:lvl w:ilvl="0">
      <w:lvlJc w:val="left"/>
      <w:lvlText w:val="(%1)"/>
      <w:numFmt w:val="lowerRoman"/>
      <w:start w:val="1"/>
    </w:lvl>
  </w:abstractNum>
  <w:abstractNum w:abstractNumId="97">
    <w:nsid w:val="78DF6A55"/>
    <w:multiLevelType w:val="hybridMultilevel"/>
    <w:lvl w:ilvl="0">
      <w:lvlJc w:val="left"/>
      <w:lvlText w:val="(%1)"/>
      <w:numFmt w:val="lowerRoman"/>
      <w:start w:val="1"/>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1)"/>
      <w:numFmt w:val="decimal"/>
      <w:start w:val="1"/>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1)"/>
      <w:numFmt w:val="decimal"/>
      <w:start w:val="1"/>
    </w:lvl>
    <w:lvl w:ilvl="1">
      <w:lvlJc w:val="left"/>
      <w:lvlText w:val="(%2)"/>
      <w:numFmt w:val="lowerRoman"/>
      <w:start w:val="2"/>
    </w:lvl>
  </w:abstractNum>
  <w:abstractNum w:abstractNumId="103">
    <w:nsid w:val="2C27173B"/>
    <w:multiLevelType w:val="hybridMultilevel"/>
    <w:lvl w:ilvl="0">
      <w:lvlJc w:val="left"/>
      <w:lvlText w:val="(%1)"/>
      <w:numFmt w:val="decimal"/>
      <w:start w:val="5"/>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
      <w:numFmt w:val="bullet"/>
      <w:start w:val="1"/>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
      <w:numFmt w:val="bullet"/>
      <w:start w:val="1"/>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
      <w:numFmt w:val="bullet"/>
      <w:start w:val="1"/>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
      <w:numFmt w:val="bullet"/>
      <w:start w:val="1"/>
    </w:lvl>
  </w:abstractNum>
  <w:abstractNum w:abstractNumId="119">
    <w:nsid w:val="2C6E4AFD"/>
    <w:multiLevelType w:val="hybridMultilevel"/>
    <w:lvl w:ilvl="0">
      <w:lvlJc w:val="left"/>
      <w:lvlText w:val="(%1)"/>
      <w:numFmt w:val="lowerLetter"/>
      <w:start w:val="1"/>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Roman"/>
      <w:start w:val="1"/>
    </w:lvl>
  </w:abstractNum>
  <w:abstractNum w:abstractNumId="122">
    <w:nsid w:val="5046B5A9"/>
    <w:multiLevelType w:val="hybridMultilevel"/>
    <w:lvl w:ilvl="0">
      <w:lvlJc w:val="left"/>
      <w:lvlText w:val="%1."/>
      <w:numFmt w:val="lowerRoman"/>
      <w:start w:val="1"/>
    </w:lvl>
  </w:abstractNum>
  <w:abstractNum w:abstractNumId="123">
    <w:nsid w:val="5D888A08"/>
    <w:multiLevelType w:val="hybridMultilevel"/>
    <w:lvl w:ilvl="0">
      <w:lvlJc w:val="left"/>
      <w:lvlText w:val="(%1)"/>
      <w:numFmt w:val="lowerRoman"/>
      <w:start w:val="3"/>
    </w:lvl>
  </w:abstractNum>
  <w:abstractNum w:abstractNumId="124">
    <w:nsid w:val="2A082C70"/>
    <w:multiLevelType w:val="hybridMultilevel"/>
    <w:lvl w:ilvl="0">
      <w:lvlJc w:val="left"/>
      <w:lvlText w:val="%1."/>
      <w:numFmt w:val="decimal"/>
      <w:start w:val="7"/>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1."/>
      <w:numFmt w:val="decimal"/>
      <w:start w:val="7"/>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
      <w:numFmt w:val="bullet"/>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2024-02-08T15:32:27Z</dcterms:created>
  <dcterms:modified xsi:type="dcterms:W3CDTF">2024-02-08T15:32:27Z</dcterms:modified>
</cp:coreProperties>
</file>