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27,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Kyverna Therapeutics,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001-41947</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83-1365441</w:t>
            </w:r>
          </w:p>
        </w:tc>
      </w:tr>
      <w:tr>
        <w:trPr>
          <w:trHeight w:val="149"/>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9"/>
              </w:rPr>
              <w:t>5980 Horton St., Suite 200</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9"/>
              </w:rPr>
              <w:t>Emeryville, California</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94608</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(510) 925-2492</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KYTX</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13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On May 27, 2026, Kyverna Therapeutics, Inc. (the “Company”) held its 2026 Annual Meeting of Stockholders (the “Annual Meeting”). Of the 60,530,293 shares of the Company’s common stock outstanding as of March 30, 2026, the record date for the Annual Meeting, 43,987,007 shares were represented at the Annual Meeting virtually or by proxy, constituting approximately 73% of the outstanding shares entitled to vote and constituting a quorum for the transaction of business.</w:t>
      </w:r>
    </w:p>
    <w:p>
      <w:pPr>
        <w:spacing w:after="0" w:line="180"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At the Annual Meeting, the Company’s stockholders considered two proposals, each of which is described in more detail in the Company’s definitive proxy statement filed with the Securities and Exchange Commission on April 13, 2026.</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 forth below is a brief description of each proposal voted upon at the Annual Meeting and the voting results with respect to each proposal.</w:t>
      </w:r>
    </w:p>
    <w:p>
      <w:pPr>
        <w:spacing w:after="0" w:line="221"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Proposal No. 1. </w:t>
      </w:r>
      <w:r>
        <w:rPr>
          <w:rFonts w:ascii="Times New Roman" w:cs="Times New Roman" w:eastAsia="Times New Roman" w:hAnsi="Times New Roman"/>
          <w:sz w:val="18"/>
          <w:szCs w:val="18"/>
          <w:color w:val="auto"/>
        </w:rPr>
        <w:t>To elect two Class II directors to hold office until the Company’s 2029 annual meeting of stockholders or until their successors are elected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qualified: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Director Nominee</w:t>
            </w:r>
          </w:p>
        </w:tc>
        <w:tc>
          <w:tcPr>
            <w:tcW w:w="120" w:type="dxa"/>
            <w:vAlign w:val="bottom"/>
          </w:tcPr>
          <w:p>
            <w:pPr>
              <w:spacing w:after="0"/>
              <w:rPr>
                <w:sz w:val="20"/>
                <w:szCs w:val="20"/>
                <w:color w:val="auto"/>
              </w:rPr>
            </w:pPr>
          </w:p>
        </w:tc>
        <w:tc>
          <w:tcPr>
            <w:tcW w:w="2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120" w:type="dxa"/>
            <w:vAlign w:val="bottom"/>
          </w:tcPr>
          <w:p>
            <w:pPr>
              <w:spacing w:after="0"/>
              <w:rPr>
                <w:sz w:val="20"/>
                <w:szCs w:val="20"/>
                <w:color w:val="auto"/>
              </w:rPr>
            </w:pPr>
          </w:p>
        </w:tc>
        <w:tc>
          <w:tcPr>
            <w:tcW w:w="252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b w:val="1"/>
                <w:bCs w:val="1"/>
                <w:color w:val="auto"/>
              </w:rPr>
              <w:t>Votes Withheld</w:t>
            </w:r>
          </w:p>
        </w:tc>
        <w:tc>
          <w:tcPr>
            <w:tcW w:w="100" w:type="dxa"/>
            <w:vAlign w:val="bottom"/>
          </w:tcPr>
          <w:p>
            <w:pPr>
              <w:spacing w:after="0"/>
              <w:rPr>
                <w:sz w:val="20"/>
                <w:szCs w:val="20"/>
                <w:color w:val="auto"/>
              </w:rPr>
            </w:pPr>
          </w:p>
        </w:tc>
        <w:tc>
          <w:tcPr>
            <w:tcW w:w="2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37"/>
        </w:trPr>
        <w:tc>
          <w:tcPr>
            <w:tcW w:w="3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Ian Clark</w:t>
            </w:r>
          </w:p>
        </w:tc>
        <w:tc>
          <w:tcPr>
            <w:tcW w:w="262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31,505,902</w:t>
            </w:r>
          </w:p>
        </w:tc>
        <w:tc>
          <w:tcPr>
            <w:tcW w:w="2640" w:type="dxa"/>
            <w:vAlign w:val="bottom"/>
            <w:gridSpan w:val="2"/>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3,255,231</w:t>
            </w:r>
          </w:p>
        </w:tc>
        <w:tc>
          <w:tcPr>
            <w:tcW w:w="252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9,225,874</w:t>
            </w:r>
          </w:p>
        </w:tc>
      </w:tr>
      <w:tr>
        <w:trPr>
          <w:trHeight w:val="243"/>
        </w:trPr>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Christi Shaw</w:t>
            </w:r>
          </w:p>
        </w:tc>
        <w:tc>
          <w:tcPr>
            <w:tcW w:w="26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34,528,865</w:t>
            </w:r>
          </w:p>
        </w:tc>
        <w:tc>
          <w:tcPr>
            <w:tcW w:w="2640" w:type="dxa"/>
            <w:vAlign w:val="bottom"/>
            <w:gridSpan w:val="2"/>
          </w:tcPr>
          <w:p>
            <w:pPr>
              <w:jc w:val="right"/>
              <w:ind w:right="890"/>
              <w:spacing w:after="0"/>
              <w:rPr>
                <w:sz w:val="20"/>
                <w:szCs w:val="20"/>
                <w:color w:val="auto"/>
              </w:rPr>
            </w:pPr>
            <w:r>
              <w:rPr>
                <w:rFonts w:ascii="Times New Roman" w:cs="Times New Roman" w:eastAsia="Times New Roman" w:hAnsi="Times New Roman"/>
                <w:sz w:val="18"/>
                <w:szCs w:val="18"/>
                <w:color w:val="auto"/>
              </w:rPr>
              <w:t>232,268</w:t>
            </w:r>
          </w:p>
        </w:tc>
        <w:tc>
          <w:tcPr>
            <w:tcW w:w="25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9,225,874</w:t>
            </w:r>
          </w:p>
        </w:tc>
      </w:tr>
    </w:tbl>
    <w:p>
      <w:pPr>
        <w:spacing w:after="0" w:line="19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As a result, the Company’s stockholders voted to elect Ian Clark and Christi Shaw as Class II directors to serve until the Company’s 2029 annual meeting of stockholders or until his or her respective successor is duly elected and qualified.</w:t>
      </w:r>
    </w:p>
    <w:p>
      <w:pPr>
        <w:spacing w:after="0" w:line="158"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Proposal No. 2. </w:t>
      </w:r>
      <w:r>
        <w:rPr>
          <w:rFonts w:ascii="Times New Roman" w:cs="Times New Roman" w:eastAsia="Times New Roman" w:hAnsi="Times New Roman"/>
          <w:sz w:val="18"/>
          <w:szCs w:val="18"/>
          <w:color w:val="auto"/>
        </w:rPr>
        <w:t>To ratify the appointment by the Audit Committee of the Company’s Board of Directors of BDO USA, P.C., as the independent registered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public accounting firm and independent auditor of the Company for the year ending December 31, 2026:</w:t>
      </w:r>
    </w:p>
    <w:p>
      <w:pPr>
        <w:spacing w:after="0" w:line="168" w:lineRule="exact"/>
        <w:rPr>
          <w:sz w:val="20"/>
          <w:szCs w:val="20"/>
          <w:color w:val="auto"/>
        </w:rPr>
      </w:pPr>
    </w:p>
    <w:tbl>
      <w:tblPr>
        <w:tblLayout w:type="fixed"/>
        <w:tblInd w:w="1640" w:type="dxa"/>
        <w:tblCellMar>
          <w:top w:w="0" w:type="dxa"/>
          <w:left w:w="0" w:type="dxa"/>
          <w:bottom w:w="0" w:type="dxa"/>
          <w:right w:w="0" w:type="dxa"/>
        </w:tblCellMar>
      </w:tblPr>
      <w:tr>
        <w:trPr>
          <w:trHeight w:val="238"/>
        </w:trPr>
        <w:tc>
          <w:tcPr>
            <w:tcW w:w="2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160" w:type="dxa"/>
            <w:vAlign w:val="bottom"/>
          </w:tcPr>
          <w:p>
            <w:pPr>
              <w:spacing w:after="0"/>
              <w:rPr>
                <w:sz w:val="20"/>
                <w:szCs w:val="20"/>
                <w:color w:val="auto"/>
              </w:rPr>
            </w:pPr>
          </w:p>
        </w:tc>
        <w:tc>
          <w:tcPr>
            <w:tcW w:w="2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Votes Against</w:t>
            </w:r>
          </w:p>
        </w:tc>
        <w:tc>
          <w:tcPr>
            <w:tcW w:w="160" w:type="dxa"/>
            <w:vAlign w:val="bottom"/>
          </w:tcPr>
          <w:p>
            <w:pPr>
              <w:spacing w:after="0"/>
              <w:rPr>
                <w:sz w:val="20"/>
                <w:szCs w:val="20"/>
                <w:color w:val="auto"/>
              </w:rPr>
            </w:pPr>
          </w:p>
        </w:tc>
        <w:tc>
          <w:tcPr>
            <w:tcW w:w="2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Abstentions</w:t>
            </w:r>
          </w:p>
        </w:tc>
      </w:tr>
      <w:tr>
        <w:trPr>
          <w:trHeight w:val="236"/>
        </w:trPr>
        <w:tc>
          <w:tcPr>
            <w:tcW w:w="270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43,830,300</w:t>
            </w:r>
          </w:p>
        </w:tc>
        <w:tc>
          <w:tcPr>
            <w:tcW w:w="2620" w:type="dxa"/>
            <w:vAlign w:val="bottom"/>
            <w:gridSpan w:val="2"/>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80,223</w:t>
            </w:r>
          </w:p>
        </w:tc>
        <w:tc>
          <w:tcPr>
            <w:tcW w:w="2640" w:type="dxa"/>
            <w:vAlign w:val="bottom"/>
            <w:gridSpan w:val="2"/>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76,484</w:t>
            </w:r>
          </w:p>
        </w:tc>
      </w:tr>
    </w:tbl>
    <w:p>
      <w:pPr>
        <w:spacing w:after="0" w:line="198"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As a result, the Company’s stockholders voted to ratify the appointment of BDO USA, P.C., as the independent registered public accounting firm and independent auditor of the Company for the year ending December 31, 2026.</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08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28"/>
        </w:trPr>
        <w:tc>
          <w:tcPr>
            <w:tcW w:w="1160" w:type="dxa"/>
            <w:vAlign w:val="bottom"/>
            <w:tcBorders>
              <w:top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w w:val="96"/>
              </w:rPr>
              <w:t>104</w:t>
            </w:r>
          </w:p>
        </w:tc>
        <w:tc>
          <w:tcPr>
            <w:tcW w:w="460" w:type="dxa"/>
            <w:vAlign w:val="bottom"/>
          </w:tcPr>
          <w:p>
            <w:pPr>
              <w:spacing w:after="0"/>
              <w:rPr>
                <w:sz w:val="19"/>
                <w:szCs w:val="19"/>
                <w:color w:val="auto"/>
              </w:rPr>
            </w:pPr>
          </w:p>
        </w:tc>
        <w:tc>
          <w:tcPr>
            <w:tcW w:w="96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 the Inline XBRL document).</w:t>
            </w:r>
          </w:p>
        </w:tc>
      </w:tr>
      <w:tr>
        <w:trPr>
          <w:trHeight w:val="1177"/>
        </w:trPr>
        <w:tc>
          <w:tcPr>
            <w:tcW w:w="11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9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98"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b w:val="1"/>
          <w:bCs w:val="1"/>
          <w:color w:val="auto"/>
        </w:rPr>
        <w:t>KYVERNA THERAPEUTICS, INC.</w:t>
      </w:r>
    </w:p>
    <w:p>
      <w:pPr>
        <w:spacing w:after="0" w:line="378"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tab/>
        <w:t>June 2,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Gregory Martini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Gregory Martini</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2026-06-02T15:49:47Z</dcterms:created>
  <dcterms:modified xsi:type="dcterms:W3CDTF">2026-06-02T15:49:47Z</dcterms:modified>
</cp:coreProperties>
</file>